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1E" w:rsidRDefault="00E77D1E" w:rsidP="00B124DA">
      <w:pPr>
        <w:jc w:val="center"/>
        <w:rPr>
          <w:rFonts w:ascii="Tahoma" w:hAnsi="Tahoma" w:cs="Tahoma"/>
          <w:b/>
          <w:sz w:val="24"/>
          <w:szCs w:val="24"/>
        </w:rPr>
      </w:pPr>
    </w:p>
    <w:p w:rsidR="00B124DA" w:rsidRDefault="00B124DA" w:rsidP="00B124DA">
      <w:pPr>
        <w:jc w:val="center"/>
        <w:rPr>
          <w:rFonts w:ascii="Tahoma" w:hAnsi="Tahoma" w:cs="Tahoma"/>
          <w:b/>
          <w:sz w:val="24"/>
          <w:szCs w:val="24"/>
        </w:rPr>
      </w:pPr>
      <w:r w:rsidRPr="00A573CD">
        <w:rPr>
          <w:rFonts w:ascii="Tahoma" w:hAnsi="Tahoma" w:cs="Tahoma"/>
          <w:b/>
          <w:sz w:val="24"/>
          <w:szCs w:val="24"/>
        </w:rPr>
        <w:t>Collaboration entre les Services de soins et le Pôle BIOLOGIE-PATHOLOGIE</w:t>
      </w:r>
    </w:p>
    <w:p w:rsidR="009C017E" w:rsidRDefault="009C017E" w:rsidP="00B124DA">
      <w:pPr>
        <w:jc w:val="center"/>
        <w:rPr>
          <w:rFonts w:ascii="Tahoma" w:hAnsi="Tahoma" w:cs="Tahoma"/>
          <w:b/>
          <w:sz w:val="24"/>
          <w:szCs w:val="24"/>
        </w:rPr>
      </w:pPr>
    </w:p>
    <w:p w:rsidR="00E77D1E" w:rsidRPr="00A573CD" w:rsidRDefault="00E77D1E" w:rsidP="00B124DA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2666"/>
        <w:gridCol w:w="6663"/>
      </w:tblGrid>
      <w:tr w:rsidR="00B124DA" w:rsidRPr="00735B39" w:rsidTr="0050172E">
        <w:tc>
          <w:tcPr>
            <w:tcW w:w="1729" w:type="dxa"/>
          </w:tcPr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</w:tc>
        <w:tc>
          <w:tcPr>
            <w:tcW w:w="2666" w:type="dxa"/>
          </w:tcPr>
          <w:p w:rsidR="00B124DA" w:rsidRPr="00735B39" w:rsidRDefault="00B124DA" w:rsidP="00B124DA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735B39">
              <w:rPr>
                <w:rFonts w:ascii="Tahoma" w:hAnsi="Tahoma" w:cs="Tahoma"/>
                <w:b/>
                <w:u w:val="single"/>
              </w:rPr>
              <w:t>Services de soins de l’établissement</w:t>
            </w:r>
          </w:p>
        </w:tc>
        <w:tc>
          <w:tcPr>
            <w:tcW w:w="6663" w:type="dxa"/>
          </w:tcPr>
          <w:p w:rsidR="00B124DA" w:rsidRPr="00735B39" w:rsidRDefault="00B124DA" w:rsidP="00B124DA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735B39">
              <w:rPr>
                <w:rFonts w:ascii="Tahoma" w:hAnsi="Tahoma" w:cs="Tahoma"/>
                <w:b/>
                <w:u w:val="single"/>
              </w:rPr>
              <w:t>Pôle Biologie –Pathologie</w:t>
            </w:r>
          </w:p>
          <w:p w:rsidR="00B124DA" w:rsidRPr="00735B39" w:rsidRDefault="00B124DA" w:rsidP="00B124DA">
            <w:pPr>
              <w:jc w:val="center"/>
              <w:rPr>
                <w:rFonts w:ascii="Tahoma" w:hAnsi="Tahoma" w:cs="Tahoma"/>
              </w:rPr>
            </w:pPr>
          </w:p>
        </w:tc>
      </w:tr>
      <w:tr w:rsidR="00B124DA" w:rsidRPr="00735B39" w:rsidTr="0050172E">
        <w:trPr>
          <w:trHeight w:val="882"/>
        </w:trPr>
        <w:tc>
          <w:tcPr>
            <w:tcW w:w="1729" w:type="dxa"/>
          </w:tcPr>
          <w:p w:rsidR="00B124DA" w:rsidRPr="00735B39" w:rsidRDefault="00B124DA" w:rsidP="00B124DA">
            <w:pPr>
              <w:rPr>
                <w:rFonts w:ascii="Tahoma" w:hAnsi="Tahoma" w:cs="Tahoma"/>
                <w:b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  <w:b/>
              </w:rPr>
            </w:pPr>
            <w:r w:rsidRPr="00735B39">
              <w:rPr>
                <w:rFonts w:ascii="Tahoma" w:hAnsi="Tahoma" w:cs="Tahoma"/>
                <w:b/>
              </w:rPr>
              <w:t>Responsables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</w:tc>
        <w:tc>
          <w:tcPr>
            <w:tcW w:w="2666" w:type="dxa"/>
          </w:tcPr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Direction des soins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Commission Médicale d’Etablissement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Chefs des Pôles cliniques</w:t>
            </w:r>
          </w:p>
        </w:tc>
        <w:tc>
          <w:tcPr>
            <w:tcW w:w="6663" w:type="dxa"/>
          </w:tcPr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Chef du Pôle 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Directeur référent du Pôle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Cadre supérieur du Pôle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Les Chefs de Service du Pôle</w:t>
            </w:r>
          </w:p>
        </w:tc>
      </w:tr>
      <w:tr w:rsidR="00B124DA" w:rsidRPr="00735B39" w:rsidTr="0050172E">
        <w:trPr>
          <w:trHeight w:val="50"/>
        </w:trPr>
        <w:tc>
          <w:tcPr>
            <w:tcW w:w="1729" w:type="dxa"/>
          </w:tcPr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  <w:b/>
              </w:rPr>
            </w:pPr>
            <w:r w:rsidRPr="00735B39">
              <w:rPr>
                <w:rFonts w:ascii="Tahoma" w:hAnsi="Tahoma" w:cs="Tahoma"/>
                <w:b/>
              </w:rPr>
              <w:t>Prestations et Engagement des 2 parties</w:t>
            </w: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  <w:b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</w:tc>
        <w:tc>
          <w:tcPr>
            <w:tcW w:w="2666" w:type="dxa"/>
          </w:tcPr>
          <w:p w:rsidR="00B124DA" w:rsidRPr="00735B39" w:rsidRDefault="00B124DA" w:rsidP="00B124DA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Expriment leurs besoins en matière d’examens de Biologie et d’Anatomie et Cytologie Pathologiques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Se conforment aux recommandations du pôle Biologie-Pathologie pour la réalisation dans le respect des bonnes pratiques des examens de Biologie et d’Anatomie </w:t>
            </w:r>
            <w:r w:rsidR="005C33CC" w:rsidRPr="00735B39">
              <w:rPr>
                <w:rFonts w:ascii="Tahoma" w:hAnsi="Tahoma" w:cs="Tahoma"/>
              </w:rPr>
              <w:t xml:space="preserve">et </w:t>
            </w:r>
            <w:r w:rsidRPr="00735B39">
              <w:rPr>
                <w:rFonts w:ascii="Tahoma" w:hAnsi="Tahoma" w:cs="Tahoma"/>
              </w:rPr>
              <w:t>Cytolog</w:t>
            </w:r>
            <w:r w:rsidR="005C33CC" w:rsidRPr="00735B39">
              <w:rPr>
                <w:rFonts w:ascii="Tahoma" w:hAnsi="Tahoma" w:cs="Tahoma"/>
              </w:rPr>
              <w:t>i</w:t>
            </w:r>
            <w:r w:rsidRPr="00735B39">
              <w:rPr>
                <w:rFonts w:ascii="Tahoma" w:hAnsi="Tahoma" w:cs="Tahoma"/>
              </w:rPr>
              <w:t>e et Pathologi</w:t>
            </w:r>
            <w:r w:rsidR="00AB2660" w:rsidRPr="00735B39">
              <w:rPr>
                <w:rFonts w:ascii="Tahoma" w:hAnsi="Tahoma" w:cs="Tahoma"/>
              </w:rPr>
              <w:t>que</w:t>
            </w:r>
            <w:r w:rsidR="005C33CC" w:rsidRPr="00735B39">
              <w:rPr>
                <w:rFonts w:ascii="Tahoma" w:hAnsi="Tahoma" w:cs="Tahoma"/>
              </w:rPr>
              <w:t>s</w:t>
            </w:r>
            <w:r w:rsidRPr="00735B39">
              <w:rPr>
                <w:rFonts w:ascii="Tahoma" w:hAnsi="Tahoma" w:cs="Tahoma"/>
              </w:rPr>
              <w:t xml:space="preserve"> (Catalogue des examens de laboratoire, disponible sur Intranet)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</w:rPr>
            </w:pPr>
          </w:p>
          <w:p w:rsidR="00A573CD" w:rsidRPr="00735B39" w:rsidRDefault="00A573CD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6663" w:type="dxa"/>
          </w:tcPr>
          <w:p w:rsidR="00B124DA" w:rsidRPr="00735B39" w:rsidRDefault="00B124DA" w:rsidP="00B124DA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Met à disposition de tous les professionnels de santé les informations nécessaires à la prescription et la réalisation des examens de Biologie et d’Anatomie et Cytologie Pathologiques, via le catalogue des examens de Laboratoire sur Intranet</w:t>
            </w:r>
          </w:p>
          <w:p w:rsidR="00B124DA" w:rsidRPr="00735B39" w:rsidRDefault="00B124DA" w:rsidP="00B124DA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S’engage à traiter les échantillons dans un délai adapté à l’activité clinique</w:t>
            </w:r>
          </w:p>
          <w:p w:rsidR="00B124DA" w:rsidRPr="00735B39" w:rsidRDefault="00B124DA" w:rsidP="00B124DA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Communique les résultats selon des modalités définies en concertation avec les prescripteurs</w:t>
            </w:r>
          </w:p>
          <w:p w:rsidR="00113FE9" w:rsidRPr="00735B39" w:rsidRDefault="00113FE9" w:rsidP="00113FE9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Transmet les compte-rendus selon les modalités suivantes : 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  <w:u w:val="single"/>
              </w:rPr>
              <w:t>- pour les examens de d’Anatomie et Cytologie Pathologiques</w:t>
            </w:r>
            <w:r w:rsidRPr="00735B39">
              <w:rPr>
                <w:rFonts w:ascii="Tahoma" w:hAnsi="Tahoma" w:cs="Tahoma"/>
              </w:rPr>
              <w:t xml:space="preserve">, 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compte-rendu signé adressé par courrier interne et disponible dans le dossier patient informatisé « onglet anapath »</w:t>
            </w:r>
            <w:r w:rsidR="00AB2660" w:rsidRPr="00735B39">
              <w:rPr>
                <w:rFonts w:ascii="Tahoma" w:hAnsi="Tahoma" w:cs="Tahoma"/>
              </w:rPr>
              <w:t xml:space="preserve"> (en projet)</w:t>
            </w: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</w:p>
          <w:p w:rsidR="00B124DA" w:rsidRPr="00735B39" w:rsidRDefault="00B124DA" w:rsidP="00B124DA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  <w:u w:val="single"/>
              </w:rPr>
              <w:t>- pour les examens de Biologie Médicale :</w:t>
            </w:r>
            <w:r w:rsidRPr="00735B39">
              <w:rPr>
                <w:rFonts w:ascii="Tahoma" w:hAnsi="Tahoma" w:cs="Tahoma"/>
              </w:rPr>
              <w:t xml:space="preserve"> </w:t>
            </w:r>
          </w:p>
          <w:p w:rsidR="00B124DA" w:rsidRPr="00735B39" w:rsidRDefault="00B124DA" w:rsidP="00B124DA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mise à disposition sur le serveur de résultats Intranet CYBERLAB </w:t>
            </w:r>
            <w:r w:rsidR="00496624" w:rsidRPr="00735B39">
              <w:rPr>
                <w:rFonts w:ascii="Tahoma" w:hAnsi="Tahoma" w:cs="Tahoma"/>
              </w:rPr>
              <w:t xml:space="preserve"> </w:t>
            </w:r>
          </w:p>
          <w:p w:rsidR="00B124DA" w:rsidRPr="00735B39" w:rsidRDefault="00B124DA" w:rsidP="00E62C7B">
            <w:pPr>
              <w:numPr>
                <w:ilvl w:val="1"/>
                <w:numId w:val="9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validés par un biologiste médical</w:t>
            </w:r>
          </w:p>
          <w:p w:rsidR="00B124DA" w:rsidRPr="00735B39" w:rsidRDefault="00B124DA" w:rsidP="00E62C7B">
            <w:pPr>
              <w:ind w:left="720"/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et/ou </w:t>
            </w:r>
          </w:p>
          <w:p w:rsidR="00B124DA" w:rsidRPr="00735B39" w:rsidRDefault="00B124DA" w:rsidP="00E62C7B">
            <w:pPr>
              <w:numPr>
                <w:ilvl w:val="1"/>
                <w:numId w:val="9"/>
              </w:numPr>
              <w:rPr>
                <w:rFonts w:ascii="Tahoma" w:hAnsi="Tahoma" w:cs="Tahoma"/>
                <w:b/>
                <w:u w:val="single"/>
              </w:rPr>
            </w:pPr>
            <w:r w:rsidRPr="00735B39">
              <w:rPr>
                <w:rFonts w:ascii="Tahoma" w:hAnsi="Tahoma" w:cs="Tahoma"/>
              </w:rPr>
              <w:t xml:space="preserve">validés analytiquement sous la responsabilité d’un biologiste médical pour les examens définis en </w:t>
            </w:r>
            <w:r w:rsidRPr="00735B39">
              <w:rPr>
                <w:rFonts w:ascii="Tahoma" w:hAnsi="Tahoma" w:cs="Tahoma"/>
                <w:b/>
                <w:i/>
                <w:u w:val="single"/>
              </w:rPr>
              <w:t>annexe</w:t>
            </w:r>
            <w:r w:rsidR="00AA7980" w:rsidRPr="00735B39">
              <w:rPr>
                <w:rFonts w:ascii="Tahoma" w:hAnsi="Tahoma" w:cs="Tahoma"/>
                <w:b/>
                <w:i/>
                <w:u w:val="single"/>
              </w:rPr>
              <w:t xml:space="preserve"> 1</w:t>
            </w:r>
            <w:r w:rsidRPr="00735B39">
              <w:rPr>
                <w:rFonts w:ascii="Tahoma" w:hAnsi="Tahoma" w:cs="Tahoma"/>
                <w:i/>
              </w:rPr>
              <w:t xml:space="preserve"> </w:t>
            </w:r>
            <w:r w:rsidRPr="00735B39">
              <w:rPr>
                <w:rFonts w:ascii="Tahoma" w:hAnsi="Tahoma" w:cs="Tahoma"/>
              </w:rPr>
              <w:t xml:space="preserve"> : résultats apparaissant avec la mention </w:t>
            </w:r>
            <w:r w:rsidRPr="00735B39">
              <w:rPr>
                <w:rFonts w:ascii="Tahoma" w:hAnsi="Tahoma" w:cs="Tahoma"/>
                <w:b/>
              </w:rPr>
              <w:t>« </w:t>
            </w:r>
            <w:r w:rsidR="00A371A7" w:rsidRPr="00735B39">
              <w:rPr>
                <w:rFonts w:ascii="Tahoma" w:hAnsi="Tahoma" w:cs="Tahoma"/>
                <w:b/>
              </w:rPr>
              <w:t>(VT)</w:t>
            </w:r>
            <w:r w:rsidRPr="00735B39">
              <w:rPr>
                <w:rFonts w:ascii="Tahoma" w:hAnsi="Tahoma" w:cs="Tahoma"/>
              </w:rPr>
              <w:t> »</w:t>
            </w:r>
          </w:p>
          <w:p w:rsidR="00D81990" w:rsidRPr="00735B39" w:rsidRDefault="00D81990" w:rsidP="00F105A4">
            <w:pPr>
              <w:numPr>
                <w:ilvl w:val="1"/>
                <w:numId w:val="9"/>
              </w:numPr>
              <w:rPr>
                <w:rFonts w:ascii="Tahoma" w:hAnsi="Tahoma" w:cs="Tahoma"/>
                <w:b/>
                <w:u w:val="single"/>
              </w:rPr>
            </w:pPr>
            <w:r w:rsidRPr="00735B39">
              <w:rPr>
                <w:rFonts w:ascii="Tahoma" w:hAnsi="Tahoma" w:cs="Tahoma"/>
              </w:rPr>
              <w:t>mise à disposition du compte-rendu définitif au format PDFdes examens</w:t>
            </w:r>
          </w:p>
          <w:p w:rsidR="008D531F" w:rsidRPr="00735B39" w:rsidRDefault="008D531F" w:rsidP="008D531F">
            <w:pPr>
              <w:ind w:left="360"/>
              <w:rPr>
                <w:rFonts w:ascii="Tahoma" w:hAnsi="Tahoma" w:cs="Tahoma"/>
                <w:b/>
                <w:u w:val="single"/>
              </w:rPr>
            </w:pPr>
          </w:p>
          <w:p w:rsidR="008D531F" w:rsidRPr="00735B39" w:rsidRDefault="008D531F" w:rsidP="008D531F">
            <w:pPr>
              <w:rPr>
                <w:rFonts w:ascii="Tahoma" w:hAnsi="Tahoma" w:cs="Tahoma"/>
                <w:i/>
              </w:rPr>
            </w:pPr>
            <w:r w:rsidRPr="00735B39">
              <w:rPr>
                <w:rFonts w:ascii="Tahoma" w:hAnsi="Tahoma" w:cs="Tahoma"/>
                <w:i/>
              </w:rPr>
              <w:t>Ne sont pas disponibles sur CYBERLAB :</w:t>
            </w:r>
          </w:p>
          <w:p w:rsidR="008D531F" w:rsidRPr="00735B39" w:rsidRDefault="008D531F" w:rsidP="000723B2">
            <w:pPr>
              <w:numPr>
                <w:ilvl w:val="0"/>
                <w:numId w:val="14"/>
              </w:numPr>
              <w:ind w:left="360"/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 </w:t>
            </w:r>
            <w:r w:rsidR="00E62C7B" w:rsidRPr="00735B39">
              <w:rPr>
                <w:rFonts w:ascii="Tahoma" w:hAnsi="Tahoma" w:cs="Tahoma"/>
              </w:rPr>
              <w:t xml:space="preserve">Les examens soumis à une réglementation spécifique (génétique </w:t>
            </w:r>
            <w:r w:rsidR="00B02444" w:rsidRPr="00735B39">
              <w:rPr>
                <w:rFonts w:ascii="Tahoma" w:hAnsi="Tahoma" w:cs="Tahoma"/>
              </w:rPr>
              <w:t>moléculaire</w:t>
            </w:r>
            <w:r w:rsidR="00303DF9" w:rsidRPr="00735B39">
              <w:rPr>
                <w:rFonts w:ascii="Tahoma" w:hAnsi="Tahoma" w:cs="Tahoma"/>
              </w:rPr>
              <w:t xml:space="preserve"> constitution</w:t>
            </w:r>
            <w:r w:rsidR="00E50952">
              <w:rPr>
                <w:rFonts w:ascii="Tahoma" w:hAnsi="Tahoma" w:cs="Tahoma"/>
              </w:rPr>
              <w:t>n</w:t>
            </w:r>
            <w:r w:rsidR="00303DF9" w:rsidRPr="00735B39">
              <w:rPr>
                <w:rFonts w:ascii="Tahoma" w:hAnsi="Tahoma" w:cs="Tahoma"/>
              </w:rPr>
              <w:t>elle</w:t>
            </w:r>
            <w:r w:rsidR="00D3143D">
              <w:rPr>
                <w:rFonts w:ascii="Tahoma" w:hAnsi="Tahoma" w:cs="Tahoma"/>
              </w:rPr>
              <w:t>, cytogénétique constitutionnelle</w:t>
            </w:r>
            <w:r w:rsidR="00B02444" w:rsidRPr="00735B39">
              <w:rPr>
                <w:rFonts w:ascii="Tahoma" w:hAnsi="Tahoma" w:cs="Tahoma"/>
              </w:rPr>
              <w:t>, AMP</w:t>
            </w:r>
            <w:r w:rsidR="006477F6" w:rsidRPr="00735B39">
              <w:rPr>
                <w:rFonts w:ascii="Tahoma" w:hAnsi="Tahoma" w:cs="Tahoma"/>
              </w:rPr>
              <w:t>, Marqueurs Sériques Maternels T21, diagnostic anténatal de maladies infectieuses</w:t>
            </w:r>
            <w:r w:rsidR="00E62C7B" w:rsidRPr="00735B39">
              <w:rPr>
                <w:rFonts w:ascii="Tahoma" w:hAnsi="Tahoma" w:cs="Tahoma"/>
              </w:rPr>
              <w:t>)</w:t>
            </w:r>
            <w:r w:rsidR="00A66E71" w:rsidRPr="00735B39">
              <w:rPr>
                <w:rFonts w:ascii="Tahoma" w:hAnsi="Tahoma" w:cs="Tahoma"/>
              </w:rPr>
              <w:t xml:space="preserve"> </w:t>
            </w:r>
          </w:p>
          <w:p w:rsidR="008D531F" w:rsidRPr="00735B39" w:rsidRDefault="008D531F" w:rsidP="008D531F">
            <w:pPr>
              <w:numPr>
                <w:ilvl w:val="0"/>
                <w:numId w:val="14"/>
              </w:numPr>
              <w:ind w:left="360"/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Les </w:t>
            </w:r>
            <w:r w:rsidR="00A66E71" w:rsidRPr="00735B39">
              <w:rPr>
                <w:rFonts w:ascii="Tahoma" w:hAnsi="Tahoma" w:cs="Tahoma"/>
              </w:rPr>
              <w:t xml:space="preserve">examens concernant le </w:t>
            </w:r>
            <w:r w:rsidR="00A371A7" w:rsidRPr="00735B39">
              <w:rPr>
                <w:rFonts w:ascii="Tahoma" w:hAnsi="Tahoma" w:cs="Tahoma"/>
              </w:rPr>
              <w:t>VI</w:t>
            </w:r>
            <w:r w:rsidR="00A66E71" w:rsidRPr="00735B39">
              <w:rPr>
                <w:rFonts w:ascii="Tahoma" w:hAnsi="Tahoma" w:cs="Tahoma"/>
              </w:rPr>
              <w:t>H</w:t>
            </w:r>
            <w:r w:rsidR="008850DE" w:rsidRPr="00735B39">
              <w:rPr>
                <w:rFonts w:ascii="Tahoma" w:hAnsi="Tahoma" w:cs="Tahoma"/>
              </w:rPr>
              <w:t xml:space="preserve"> </w:t>
            </w:r>
            <w:r w:rsidR="00A371A7" w:rsidRPr="00735B39">
              <w:rPr>
                <w:rFonts w:ascii="Tahoma" w:hAnsi="Tahoma" w:cs="Tahoma"/>
              </w:rPr>
              <w:t xml:space="preserve">pour </w:t>
            </w:r>
            <w:r w:rsidRPr="00735B39">
              <w:rPr>
                <w:rFonts w:ascii="Tahoma" w:hAnsi="Tahoma" w:cs="Tahoma"/>
              </w:rPr>
              <w:t>des raisons de confidentialité</w:t>
            </w:r>
          </w:p>
          <w:p w:rsidR="008D531F" w:rsidRPr="00735B39" w:rsidRDefault="008D531F" w:rsidP="008D531F">
            <w:pPr>
              <w:numPr>
                <w:ilvl w:val="0"/>
                <w:numId w:val="14"/>
              </w:numPr>
              <w:ind w:left="360"/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Les examens du Laboratoire d’Histocompatibilité</w:t>
            </w:r>
          </w:p>
          <w:p w:rsidR="0017429F" w:rsidRPr="00735B39" w:rsidRDefault="0017429F" w:rsidP="00113FE9">
            <w:pPr>
              <w:rPr>
                <w:rFonts w:ascii="Tahoma" w:hAnsi="Tahoma" w:cs="Tahoma"/>
              </w:rPr>
            </w:pPr>
          </w:p>
          <w:p w:rsidR="0017429F" w:rsidRPr="00735B39" w:rsidRDefault="0017429F" w:rsidP="00113FE9">
            <w:pPr>
              <w:rPr>
                <w:rFonts w:ascii="Tahoma" w:hAnsi="Tahoma" w:cs="Tahoma"/>
                <w:i/>
              </w:rPr>
            </w:pPr>
            <w:r w:rsidRPr="00735B39">
              <w:rPr>
                <w:rFonts w:ascii="Tahoma" w:hAnsi="Tahoma" w:cs="Tahoma"/>
                <w:i/>
              </w:rPr>
              <w:t>Ces résultats sont mis à disposition uniquement en version papier et portent la mention « </w:t>
            </w:r>
            <w:r w:rsidRPr="00735B39">
              <w:rPr>
                <w:rFonts w:ascii="Tahoma" w:hAnsi="Tahoma" w:cs="Tahoma"/>
                <w:b/>
                <w:i/>
              </w:rPr>
              <w:t xml:space="preserve">« édition papier à conserver dans le dossier patient » </w:t>
            </w:r>
            <w:r w:rsidRPr="00735B39">
              <w:rPr>
                <w:rFonts w:ascii="Tahoma" w:hAnsi="Tahoma" w:cs="Tahoma"/>
                <w:i/>
              </w:rPr>
              <w:t>afin de faciliter leur classement pour le personnel de soin</w:t>
            </w:r>
          </w:p>
          <w:p w:rsidR="0017429F" w:rsidRPr="00735B39" w:rsidRDefault="0017429F" w:rsidP="00113FE9">
            <w:pPr>
              <w:rPr>
                <w:rFonts w:ascii="Tahoma" w:hAnsi="Tahoma" w:cs="Tahoma"/>
              </w:rPr>
            </w:pPr>
          </w:p>
          <w:p w:rsidR="00B124DA" w:rsidRPr="00735B39" w:rsidRDefault="00113FE9" w:rsidP="00113FE9">
            <w:pPr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exemplaire</w:t>
            </w:r>
            <w:r w:rsidR="00E62C7B" w:rsidRPr="00735B39">
              <w:rPr>
                <w:rFonts w:ascii="Tahoma" w:hAnsi="Tahoma" w:cs="Tahoma"/>
              </w:rPr>
              <w:t xml:space="preserve"> </w:t>
            </w:r>
            <w:r w:rsidRPr="00735B39">
              <w:rPr>
                <w:rFonts w:ascii="Tahoma" w:hAnsi="Tahoma" w:cs="Tahoma"/>
              </w:rPr>
              <w:t>papier</w:t>
            </w:r>
            <w:r w:rsidR="00E62C7B" w:rsidRPr="00735B39">
              <w:rPr>
                <w:rFonts w:ascii="Tahoma" w:hAnsi="Tahoma" w:cs="Tahoma"/>
              </w:rPr>
              <w:t xml:space="preserve"> </w:t>
            </w:r>
            <w:r w:rsidRPr="00735B39">
              <w:rPr>
                <w:rFonts w:ascii="Tahoma" w:hAnsi="Tahoma" w:cs="Tahoma"/>
              </w:rPr>
              <w:t xml:space="preserve">du compte-rendu </w:t>
            </w:r>
            <w:r w:rsidR="00E62C7B" w:rsidRPr="00735B39">
              <w:rPr>
                <w:rFonts w:ascii="Tahoma" w:hAnsi="Tahoma" w:cs="Tahoma"/>
              </w:rPr>
              <w:t xml:space="preserve">adressé par courrier interne </w:t>
            </w:r>
            <w:r w:rsidR="00E62C7B" w:rsidRPr="00735B39">
              <w:rPr>
                <w:rFonts w:ascii="Tahoma" w:hAnsi="Tahoma" w:cs="Tahoma"/>
                <w:b/>
                <w:u w:val="single"/>
              </w:rPr>
              <w:t>sauf</w:t>
            </w:r>
            <w:r w:rsidR="00E62C7B" w:rsidRPr="00735B39">
              <w:rPr>
                <w:rFonts w:ascii="Tahoma" w:hAnsi="Tahoma" w:cs="Tahoma"/>
              </w:rPr>
              <w:t xml:space="preserve"> pour </w:t>
            </w:r>
            <w:r w:rsidR="00A573CD" w:rsidRPr="00735B39">
              <w:rPr>
                <w:rFonts w:ascii="Tahoma" w:hAnsi="Tahoma" w:cs="Tahoma"/>
              </w:rPr>
              <w:t xml:space="preserve">les examens du département de Biochimie et Pharmaco-Toxicologie, du laboratoire d’Hématologie et du Département de Bactériologie-Virologie, Hygiène Hospitalière et Parasitologie provenant des </w:t>
            </w:r>
            <w:r w:rsidR="00E62C7B" w:rsidRPr="00735B39">
              <w:rPr>
                <w:rFonts w:ascii="Tahoma" w:hAnsi="Tahoma" w:cs="Tahoma"/>
                <w:b/>
                <w:u w:val="single"/>
              </w:rPr>
              <w:t>unités de soins</w:t>
            </w:r>
            <w:r w:rsidR="00E62C7B" w:rsidRPr="00735B39">
              <w:rPr>
                <w:rFonts w:ascii="Tahoma" w:hAnsi="Tahoma" w:cs="Tahoma"/>
              </w:rPr>
              <w:t xml:space="preserve"> </w:t>
            </w:r>
            <w:r w:rsidR="000169FF" w:rsidRPr="00735B39">
              <w:rPr>
                <w:rFonts w:ascii="Tahoma" w:hAnsi="Tahoma" w:cs="Tahoma"/>
              </w:rPr>
              <w:t>figur</w:t>
            </w:r>
            <w:r w:rsidR="00AA7980" w:rsidRPr="00735B39">
              <w:rPr>
                <w:rFonts w:ascii="Tahoma" w:hAnsi="Tahoma" w:cs="Tahoma"/>
              </w:rPr>
              <w:t xml:space="preserve">ant en </w:t>
            </w:r>
            <w:r w:rsidR="00AA7980" w:rsidRPr="00735B39">
              <w:rPr>
                <w:rFonts w:ascii="Tahoma" w:hAnsi="Tahoma" w:cs="Tahoma"/>
                <w:b/>
                <w:i/>
                <w:u w:val="single"/>
              </w:rPr>
              <w:t>annexe 2</w:t>
            </w:r>
          </w:p>
        </w:tc>
      </w:tr>
    </w:tbl>
    <w:p w:rsidR="004D6004" w:rsidRDefault="004D6004"/>
    <w:p w:rsidR="0017429F" w:rsidRDefault="0017429F"/>
    <w:p w:rsidR="0017429F" w:rsidRDefault="0017429F"/>
    <w:p w:rsidR="0017429F" w:rsidRDefault="0017429F"/>
    <w:p w:rsidR="00E77D1E" w:rsidRDefault="00E77D1E" w:rsidP="0017429F">
      <w:pPr>
        <w:jc w:val="center"/>
        <w:rPr>
          <w:rFonts w:ascii="Tahoma" w:hAnsi="Tahoma" w:cs="Tahoma"/>
          <w:b/>
          <w:sz w:val="24"/>
          <w:szCs w:val="24"/>
        </w:rPr>
      </w:pPr>
    </w:p>
    <w:p w:rsidR="0017429F" w:rsidRDefault="0017429F" w:rsidP="00E77D1E">
      <w:pPr>
        <w:jc w:val="center"/>
        <w:rPr>
          <w:rFonts w:ascii="Tahoma" w:hAnsi="Tahoma" w:cs="Tahoma"/>
          <w:b/>
          <w:sz w:val="24"/>
          <w:szCs w:val="24"/>
        </w:rPr>
      </w:pPr>
      <w:r w:rsidRPr="00A573CD">
        <w:rPr>
          <w:rFonts w:ascii="Tahoma" w:hAnsi="Tahoma" w:cs="Tahoma"/>
          <w:b/>
          <w:sz w:val="24"/>
          <w:szCs w:val="24"/>
        </w:rPr>
        <w:t>Collaboration entre les Services de soins et le Pôle BIOLOGIE-PATHOLOGIE</w:t>
      </w:r>
    </w:p>
    <w:p w:rsidR="00E77D1E" w:rsidRDefault="00E77D1E" w:rsidP="00E77D1E">
      <w:pPr>
        <w:jc w:val="center"/>
        <w:rPr>
          <w:rFonts w:ascii="Tahoma" w:hAnsi="Tahoma" w:cs="Tahoma"/>
          <w:b/>
          <w:sz w:val="24"/>
          <w:szCs w:val="24"/>
        </w:rPr>
      </w:pPr>
    </w:p>
    <w:p w:rsidR="00E77D1E" w:rsidRPr="00E77D1E" w:rsidRDefault="00E77D1E" w:rsidP="00E77D1E">
      <w:pPr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9"/>
        <w:gridCol w:w="3185"/>
        <w:gridCol w:w="6144"/>
      </w:tblGrid>
      <w:tr w:rsidR="004D6004" w:rsidRPr="00735B39" w:rsidTr="004B0557">
        <w:tc>
          <w:tcPr>
            <w:tcW w:w="1729" w:type="dxa"/>
          </w:tcPr>
          <w:p w:rsidR="004D6004" w:rsidRPr="00735B39" w:rsidRDefault="004D6004" w:rsidP="004B0557">
            <w:pPr>
              <w:rPr>
                <w:rFonts w:ascii="Tahoma" w:hAnsi="Tahoma" w:cs="Tahoma"/>
              </w:rPr>
            </w:pPr>
          </w:p>
        </w:tc>
        <w:tc>
          <w:tcPr>
            <w:tcW w:w="3185" w:type="dxa"/>
          </w:tcPr>
          <w:p w:rsidR="004D6004" w:rsidRPr="00735B39" w:rsidRDefault="004D6004" w:rsidP="004B055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735B39">
              <w:rPr>
                <w:rFonts w:ascii="Tahoma" w:hAnsi="Tahoma" w:cs="Tahoma"/>
                <w:b/>
                <w:u w:val="single"/>
              </w:rPr>
              <w:t>Services de soins de l’établissement</w:t>
            </w:r>
          </w:p>
        </w:tc>
        <w:tc>
          <w:tcPr>
            <w:tcW w:w="6144" w:type="dxa"/>
          </w:tcPr>
          <w:p w:rsidR="004D6004" w:rsidRPr="00735B39" w:rsidRDefault="004D6004" w:rsidP="004B0557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735B39">
              <w:rPr>
                <w:rFonts w:ascii="Tahoma" w:hAnsi="Tahoma" w:cs="Tahoma"/>
                <w:b/>
                <w:u w:val="single"/>
              </w:rPr>
              <w:t>Pôle Biologie –Pathologie</w:t>
            </w:r>
          </w:p>
          <w:p w:rsidR="004D6004" w:rsidRPr="00735B39" w:rsidRDefault="004D6004" w:rsidP="004B0557">
            <w:pPr>
              <w:jc w:val="center"/>
              <w:rPr>
                <w:rFonts w:ascii="Tahoma" w:hAnsi="Tahoma" w:cs="Tahoma"/>
              </w:rPr>
            </w:pPr>
          </w:p>
        </w:tc>
      </w:tr>
      <w:tr w:rsidR="004D6004" w:rsidRPr="00735B39" w:rsidTr="004B0557">
        <w:trPr>
          <w:trHeight w:val="882"/>
        </w:trPr>
        <w:tc>
          <w:tcPr>
            <w:tcW w:w="1729" w:type="dxa"/>
          </w:tcPr>
          <w:p w:rsidR="004D6004" w:rsidRPr="00735B39" w:rsidRDefault="004D6004" w:rsidP="004B0557">
            <w:pPr>
              <w:rPr>
                <w:rFonts w:ascii="Tahoma" w:hAnsi="Tahoma" w:cs="Tahoma"/>
                <w:b/>
              </w:rPr>
            </w:pPr>
          </w:p>
          <w:p w:rsidR="004D6004" w:rsidRPr="00735B39" w:rsidRDefault="004D6004" w:rsidP="004B0557">
            <w:pPr>
              <w:rPr>
                <w:rFonts w:ascii="Tahoma" w:hAnsi="Tahoma" w:cs="Tahoma"/>
                <w:b/>
              </w:rPr>
            </w:pPr>
            <w:r w:rsidRPr="00735B39">
              <w:rPr>
                <w:rFonts w:ascii="Tahoma" w:hAnsi="Tahoma" w:cs="Tahoma"/>
                <w:b/>
              </w:rPr>
              <w:t>Responsables</w:t>
            </w:r>
          </w:p>
          <w:p w:rsidR="004D6004" w:rsidRPr="00735B39" w:rsidRDefault="004D6004" w:rsidP="004B0557">
            <w:pPr>
              <w:rPr>
                <w:rFonts w:ascii="Tahoma" w:hAnsi="Tahoma" w:cs="Tahoma"/>
              </w:rPr>
            </w:pPr>
          </w:p>
          <w:p w:rsidR="004D6004" w:rsidRPr="00735B39" w:rsidRDefault="004D6004" w:rsidP="004B0557">
            <w:pPr>
              <w:rPr>
                <w:rFonts w:ascii="Tahoma" w:hAnsi="Tahoma" w:cs="Tahoma"/>
              </w:rPr>
            </w:pPr>
          </w:p>
        </w:tc>
        <w:tc>
          <w:tcPr>
            <w:tcW w:w="3185" w:type="dxa"/>
          </w:tcPr>
          <w:p w:rsidR="004D6004" w:rsidRPr="00735B39" w:rsidRDefault="004D6004" w:rsidP="004B0557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Direction des soins</w:t>
            </w:r>
          </w:p>
          <w:p w:rsidR="004D6004" w:rsidRPr="00735B39" w:rsidRDefault="004D6004" w:rsidP="004B0557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Commission Médicale d’Etablissement</w:t>
            </w:r>
          </w:p>
          <w:p w:rsidR="004D6004" w:rsidRPr="00735B39" w:rsidRDefault="004D6004" w:rsidP="004B0557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Chefs des Pôles cliniques</w:t>
            </w:r>
          </w:p>
        </w:tc>
        <w:tc>
          <w:tcPr>
            <w:tcW w:w="6144" w:type="dxa"/>
          </w:tcPr>
          <w:p w:rsidR="004D6004" w:rsidRPr="00735B39" w:rsidRDefault="004D6004" w:rsidP="004B0557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Chef du Pôle </w:t>
            </w:r>
          </w:p>
          <w:p w:rsidR="004D6004" w:rsidRPr="00735B39" w:rsidRDefault="004D6004" w:rsidP="004B0557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Directeur référent du Pôle</w:t>
            </w:r>
          </w:p>
          <w:p w:rsidR="004D6004" w:rsidRPr="00735B39" w:rsidRDefault="004D6004" w:rsidP="004B0557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Cadre supérieur du Pôle</w:t>
            </w:r>
          </w:p>
          <w:p w:rsidR="004D6004" w:rsidRPr="00735B39" w:rsidRDefault="004D6004" w:rsidP="004B0557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Les Chefs de Service du Pôle</w:t>
            </w:r>
          </w:p>
        </w:tc>
      </w:tr>
      <w:tr w:rsidR="004D6004" w:rsidRPr="00735B39" w:rsidTr="00E77D1E">
        <w:trPr>
          <w:trHeight w:val="8542"/>
        </w:trPr>
        <w:tc>
          <w:tcPr>
            <w:tcW w:w="1729" w:type="dxa"/>
          </w:tcPr>
          <w:p w:rsidR="004D6004" w:rsidRPr="00735B39" w:rsidRDefault="004D6004" w:rsidP="00B124DA">
            <w:pPr>
              <w:rPr>
                <w:rFonts w:ascii="Tahoma" w:hAnsi="Tahoma" w:cs="Tahoma"/>
                <w:b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185" w:type="dxa"/>
          </w:tcPr>
          <w:p w:rsidR="004D6004" w:rsidRPr="00735B39" w:rsidRDefault="004D6004" w:rsidP="004D600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Déclarent les évènements indésirables en lien avec le pôle Biologie-Pathologie dans un esprit d’amélioration</w:t>
            </w:r>
          </w:p>
          <w:p w:rsidR="004D6004" w:rsidRPr="00735B39" w:rsidRDefault="004D6004" w:rsidP="004D6004">
            <w:pPr>
              <w:rPr>
                <w:rFonts w:ascii="Tahoma" w:hAnsi="Tahoma" w:cs="Tahoma"/>
              </w:rPr>
            </w:pPr>
          </w:p>
          <w:p w:rsidR="004D6004" w:rsidRPr="00735B39" w:rsidRDefault="004D6004" w:rsidP="004D6004">
            <w:pPr>
              <w:rPr>
                <w:rFonts w:ascii="Tahoma" w:hAnsi="Tahoma" w:cs="Tahoma"/>
              </w:rPr>
            </w:pPr>
          </w:p>
          <w:p w:rsidR="004D6004" w:rsidRPr="00735B39" w:rsidRDefault="004D6004" w:rsidP="004D6004">
            <w:pPr>
              <w:rPr>
                <w:rFonts w:ascii="Tahoma" w:hAnsi="Tahoma" w:cs="Tahoma"/>
              </w:rPr>
            </w:pPr>
          </w:p>
          <w:p w:rsidR="004D6004" w:rsidRPr="00735B39" w:rsidRDefault="004D6004" w:rsidP="004D6004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Participent aux différents évènements visant à améliorer le dialogue clinico-biologique</w:t>
            </w:r>
          </w:p>
          <w:p w:rsidR="004D6004" w:rsidRPr="00735B39" w:rsidRDefault="004D6004" w:rsidP="004D6004">
            <w:pPr>
              <w:rPr>
                <w:rFonts w:ascii="Tahoma" w:hAnsi="Tahoma" w:cs="Tahoma"/>
              </w:rPr>
            </w:pPr>
          </w:p>
          <w:p w:rsidR="004D6004" w:rsidRPr="00735B39" w:rsidRDefault="004D6004" w:rsidP="004D6004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Adhèrent à la démarche qualité et participent au bilan annuel du pôle Biologie-Pathologie</w:t>
            </w:r>
          </w:p>
          <w:p w:rsidR="004D6004" w:rsidRPr="00735B39" w:rsidRDefault="004D6004" w:rsidP="00B124DA">
            <w:pPr>
              <w:ind w:left="360"/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ind w:left="360"/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ind w:left="360"/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ind w:left="360"/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ind w:left="360"/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ind w:left="360"/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ind w:left="360"/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6144" w:type="dxa"/>
          </w:tcPr>
          <w:p w:rsidR="004D6004" w:rsidRPr="00735B39" w:rsidRDefault="004D6004" w:rsidP="004D600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S’engage à mettre en place une organisation visant à éviter toute rupture d’activité en cas de panne d’analyseur</w:t>
            </w:r>
          </w:p>
          <w:p w:rsidR="004D6004" w:rsidRPr="00735B39" w:rsidRDefault="004D6004" w:rsidP="004D6004">
            <w:pPr>
              <w:rPr>
                <w:rFonts w:ascii="Tahoma" w:hAnsi="Tahoma" w:cs="Tahoma"/>
              </w:rPr>
            </w:pPr>
          </w:p>
          <w:p w:rsidR="004D6004" w:rsidRPr="00735B39" w:rsidRDefault="004D6004" w:rsidP="004D600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Privilégie le dialogue clinico-biologique dans le but d’intégrer toute demande des services de soins visant à améliorer les prestations du pôle Biologie-Pathologie : </w:t>
            </w:r>
          </w:p>
          <w:p w:rsidR="004D6004" w:rsidRPr="00735B39" w:rsidRDefault="004D6004" w:rsidP="004D6004">
            <w:pPr>
              <w:numPr>
                <w:ilvl w:val="1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dialogue quotidien laboratoire-services de soins</w:t>
            </w:r>
          </w:p>
          <w:p w:rsidR="004D6004" w:rsidRPr="00735B39" w:rsidRDefault="004D6004" w:rsidP="004D6004">
            <w:pPr>
              <w:numPr>
                <w:ilvl w:val="1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participation aux différentes réunions, RCP et staffs avec les services de soins</w:t>
            </w:r>
          </w:p>
          <w:p w:rsidR="004D6004" w:rsidRPr="00735B39" w:rsidRDefault="004D6004" w:rsidP="004D6004">
            <w:pPr>
              <w:numPr>
                <w:ilvl w:val="1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réunions d’encadrement institutionnelles</w:t>
            </w:r>
          </w:p>
          <w:p w:rsidR="004D6004" w:rsidRPr="00735B39" w:rsidRDefault="004D6004" w:rsidP="004D6004">
            <w:pPr>
              <w:numPr>
                <w:ilvl w:val="1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groupe de travail pré-analytique</w:t>
            </w:r>
          </w:p>
          <w:p w:rsidR="004D6004" w:rsidRPr="00735B39" w:rsidRDefault="004D6004" w:rsidP="004D6004">
            <w:pPr>
              <w:numPr>
                <w:ilvl w:val="1"/>
                <w:numId w:val="4"/>
              </w:numPr>
              <w:jc w:val="both"/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analyse et traitement des évènements indésirables déclarés par les services de soins</w:t>
            </w:r>
          </w:p>
          <w:p w:rsidR="004D6004" w:rsidRPr="00735B39" w:rsidRDefault="004D6004" w:rsidP="004D6004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enregistrement et traitement des non conformités observées au pôle Biologie-Pathologie  et retour vers services de soins.</w:t>
            </w: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Evalue ses pratiques professionnelles (audit, CREX…)</w:t>
            </w:r>
          </w:p>
          <w:p w:rsidR="004D6004" w:rsidRPr="00735B39" w:rsidRDefault="004D6004" w:rsidP="00B124DA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Met en place une dynamique d’amélioration continue</w:t>
            </w:r>
          </w:p>
          <w:p w:rsidR="004D6004" w:rsidRPr="00735B39" w:rsidRDefault="004D6004" w:rsidP="000201C1">
            <w:pPr>
              <w:rPr>
                <w:rFonts w:ascii="Tahoma" w:hAnsi="Tahoma" w:cs="Tahoma"/>
              </w:rPr>
            </w:pPr>
          </w:p>
          <w:p w:rsidR="004D6004" w:rsidRPr="00735B39" w:rsidRDefault="004D6004" w:rsidP="00B124DA">
            <w:pPr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S’engage à respecter : </w:t>
            </w:r>
          </w:p>
          <w:p w:rsidR="004D6004" w:rsidRPr="00735B39" w:rsidRDefault="004D6004" w:rsidP="005F74D0">
            <w:pPr>
              <w:ind w:left="360"/>
              <w:rPr>
                <w:rFonts w:ascii="Tahoma" w:hAnsi="Tahoma" w:cs="Tahoma"/>
              </w:rPr>
            </w:pPr>
          </w:p>
          <w:p w:rsidR="004D6004" w:rsidRPr="00735B39" w:rsidRDefault="004D6004" w:rsidP="005F74D0">
            <w:pPr>
              <w:rPr>
                <w:rFonts w:ascii="Tahoma" w:hAnsi="Tahoma" w:cs="Tahoma"/>
                <w:u w:val="single"/>
              </w:rPr>
            </w:pPr>
            <w:r w:rsidRPr="00735B39">
              <w:rPr>
                <w:rFonts w:ascii="Tahoma" w:hAnsi="Tahoma" w:cs="Tahoma"/>
                <w:u w:val="single"/>
              </w:rPr>
              <w:t>- pour les examens de d’Anatomie et Cytologie Pathologiques</w:t>
            </w:r>
          </w:p>
          <w:p w:rsidR="004D6004" w:rsidRPr="00735B39" w:rsidRDefault="004D6004" w:rsidP="005F74D0">
            <w:pPr>
              <w:numPr>
                <w:ilvl w:val="1"/>
                <w:numId w:val="5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le référentiel AFAQAP (Association Française d’Assurance Qualité en Anatomie et Cytologie Pathologiques)</w:t>
            </w:r>
          </w:p>
          <w:p w:rsidR="004D6004" w:rsidRPr="00735B39" w:rsidRDefault="004D6004" w:rsidP="005F74D0">
            <w:pPr>
              <w:rPr>
                <w:rFonts w:ascii="Tahoma" w:hAnsi="Tahoma" w:cs="Tahoma"/>
                <w:u w:val="single"/>
              </w:rPr>
            </w:pPr>
          </w:p>
          <w:p w:rsidR="004D6004" w:rsidRPr="00735B39" w:rsidRDefault="004D6004" w:rsidP="005F74D0">
            <w:p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  <w:u w:val="single"/>
              </w:rPr>
              <w:t>- pour les examens de Biologie Médicale :</w:t>
            </w:r>
            <w:r w:rsidRPr="00735B39">
              <w:rPr>
                <w:rFonts w:ascii="Tahoma" w:hAnsi="Tahoma" w:cs="Tahoma"/>
              </w:rPr>
              <w:t xml:space="preserve"> </w:t>
            </w:r>
          </w:p>
          <w:p w:rsidR="004D6004" w:rsidRPr="00735B39" w:rsidRDefault="004D6004" w:rsidP="005F74D0">
            <w:pPr>
              <w:numPr>
                <w:ilvl w:val="1"/>
                <w:numId w:val="5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>le Guide de Bonne Exécution des Analyses</w:t>
            </w:r>
          </w:p>
          <w:p w:rsidR="004D6004" w:rsidRPr="00735B39" w:rsidRDefault="004D6004" w:rsidP="005F74D0">
            <w:pPr>
              <w:numPr>
                <w:ilvl w:val="1"/>
                <w:numId w:val="5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les normes NF EN ISO 15189 et 22870 </w:t>
            </w:r>
          </w:p>
          <w:p w:rsidR="004D6004" w:rsidRPr="00735B39" w:rsidRDefault="004D6004" w:rsidP="005F74D0">
            <w:pPr>
              <w:numPr>
                <w:ilvl w:val="1"/>
                <w:numId w:val="5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</w:rPr>
              <w:t xml:space="preserve">les référentiels spécifiques à chaque laboratoire, notamment </w:t>
            </w:r>
          </w:p>
          <w:p w:rsidR="004D6004" w:rsidRPr="00735B39" w:rsidRDefault="004D6004" w:rsidP="005F74D0">
            <w:pPr>
              <w:numPr>
                <w:ilvl w:val="2"/>
                <w:numId w:val="5"/>
              </w:numPr>
              <w:rPr>
                <w:rFonts w:ascii="Tahoma" w:hAnsi="Tahoma" w:cs="Tahoma"/>
                <w:lang w:val="en-GB"/>
              </w:rPr>
            </w:pPr>
            <w:r w:rsidRPr="00735B39">
              <w:rPr>
                <w:rFonts w:ascii="Tahoma" w:hAnsi="Tahoma" w:cs="Tahoma"/>
                <w:lang w:val="en-US"/>
              </w:rPr>
              <w:t>EFI : European Federation for Immunogenetics</w:t>
            </w:r>
          </w:p>
          <w:p w:rsidR="004D6004" w:rsidRPr="00735B39" w:rsidRDefault="004D6004" w:rsidP="004D6004">
            <w:pPr>
              <w:numPr>
                <w:ilvl w:val="2"/>
                <w:numId w:val="5"/>
              </w:numPr>
              <w:rPr>
                <w:rFonts w:ascii="Tahoma" w:hAnsi="Tahoma" w:cs="Tahoma"/>
              </w:rPr>
            </w:pPr>
            <w:r w:rsidRPr="00735B39">
              <w:rPr>
                <w:rFonts w:ascii="Tahoma" w:hAnsi="Tahoma" w:cs="Tahoma"/>
                <w:lang w:val="en-US"/>
              </w:rPr>
              <w:t>WMDA : World Marrow Donor Association</w:t>
            </w:r>
          </w:p>
        </w:tc>
      </w:tr>
    </w:tbl>
    <w:p w:rsidR="00735B39" w:rsidRDefault="00735B39" w:rsidP="00B124DA">
      <w:pPr>
        <w:rPr>
          <w:rFonts w:ascii="Tahoma" w:hAnsi="Tahoma" w:cs="Tahoma"/>
        </w:rPr>
      </w:pPr>
    </w:p>
    <w:p w:rsidR="00E77D1E" w:rsidRPr="00735B39" w:rsidRDefault="00E77D1E" w:rsidP="00B124DA">
      <w:pPr>
        <w:rPr>
          <w:rFonts w:ascii="Tahoma" w:hAnsi="Tahoma" w:cs="Tahoma"/>
        </w:rPr>
      </w:pPr>
    </w:p>
    <w:p w:rsidR="002722B6" w:rsidRPr="00735B39" w:rsidRDefault="00B124DA" w:rsidP="00B124DA">
      <w:pPr>
        <w:rPr>
          <w:rFonts w:ascii="Tahoma" w:hAnsi="Tahoma" w:cs="Tahoma"/>
        </w:rPr>
      </w:pPr>
      <w:r w:rsidRPr="00735B39">
        <w:rPr>
          <w:rFonts w:ascii="Tahoma" w:hAnsi="Tahoma" w:cs="Tahoma"/>
        </w:rPr>
        <w:t>Direction des soins</w:t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  <w:t>Pôle Biologie-Pathologie</w:t>
      </w:r>
      <w:r w:rsidR="002722B6" w:rsidRPr="00735B39">
        <w:rPr>
          <w:rFonts w:ascii="Tahoma" w:hAnsi="Tahoma" w:cs="Tahoma"/>
        </w:rPr>
        <w:t xml:space="preserve"> </w:t>
      </w:r>
    </w:p>
    <w:p w:rsidR="00B124DA" w:rsidRPr="00735B39" w:rsidRDefault="002722B6" w:rsidP="00B124DA">
      <w:pPr>
        <w:rPr>
          <w:rFonts w:ascii="Tahoma" w:hAnsi="Tahoma" w:cs="Tahoma"/>
        </w:rPr>
      </w:pPr>
      <w:r w:rsidRPr="00735B39">
        <w:rPr>
          <w:rFonts w:ascii="Tahoma" w:hAnsi="Tahoma" w:cs="Tahoma"/>
        </w:rPr>
        <w:t>Le</w:t>
      </w:r>
      <w:r w:rsidR="00B124DA" w:rsidRPr="00735B39">
        <w:rPr>
          <w:rFonts w:ascii="Tahoma" w:hAnsi="Tahoma" w:cs="Tahoma"/>
        </w:rPr>
        <w:tab/>
      </w:r>
    </w:p>
    <w:p w:rsidR="002722B6" w:rsidRPr="00735B39" w:rsidRDefault="002722B6" w:rsidP="00B124DA">
      <w:pPr>
        <w:rPr>
          <w:rFonts w:ascii="Tahoma" w:hAnsi="Tahoma" w:cs="Tahoma"/>
        </w:rPr>
      </w:pPr>
    </w:p>
    <w:p w:rsidR="00B124DA" w:rsidRPr="00735B39" w:rsidRDefault="00B124DA" w:rsidP="00B124DA">
      <w:pPr>
        <w:rPr>
          <w:rFonts w:ascii="Tahoma" w:hAnsi="Tahoma" w:cs="Tahoma"/>
        </w:rPr>
      </w:pPr>
      <w:r w:rsidRPr="00735B39">
        <w:rPr>
          <w:rFonts w:ascii="Tahoma" w:hAnsi="Tahoma" w:cs="Tahoma"/>
        </w:rPr>
        <w:t>Commission Médicale d’Etablissement</w:t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</w:p>
    <w:p w:rsidR="00B124DA" w:rsidRPr="00735B39" w:rsidRDefault="002722B6" w:rsidP="00B124DA">
      <w:pPr>
        <w:rPr>
          <w:rFonts w:ascii="Tahoma" w:hAnsi="Tahoma" w:cs="Tahoma"/>
        </w:rPr>
      </w:pPr>
      <w:r w:rsidRPr="00735B39">
        <w:rPr>
          <w:rFonts w:ascii="Tahoma" w:hAnsi="Tahoma" w:cs="Tahoma"/>
        </w:rPr>
        <w:t>Le</w:t>
      </w:r>
      <w:r w:rsidRPr="00735B39">
        <w:rPr>
          <w:rFonts w:ascii="Tahoma" w:hAnsi="Tahoma" w:cs="Tahoma"/>
        </w:rPr>
        <w:tab/>
      </w:r>
      <w:r w:rsidR="00B124DA" w:rsidRPr="00735B39">
        <w:rPr>
          <w:rFonts w:ascii="Tahoma" w:hAnsi="Tahoma" w:cs="Tahoma"/>
        </w:rPr>
        <w:tab/>
      </w:r>
      <w:r w:rsidR="00B124DA" w:rsidRPr="00735B39">
        <w:rPr>
          <w:rFonts w:ascii="Tahoma" w:hAnsi="Tahoma" w:cs="Tahoma"/>
        </w:rPr>
        <w:tab/>
      </w:r>
      <w:r w:rsidR="00B124DA" w:rsidRPr="00735B39">
        <w:rPr>
          <w:rFonts w:ascii="Tahoma" w:hAnsi="Tahoma" w:cs="Tahoma"/>
        </w:rPr>
        <w:tab/>
      </w:r>
      <w:r w:rsidR="00B124DA" w:rsidRPr="00735B39">
        <w:rPr>
          <w:rFonts w:ascii="Tahoma" w:hAnsi="Tahoma" w:cs="Tahoma"/>
        </w:rPr>
        <w:tab/>
      </w:r>
      <w:r w:rsidR="00B124DA" w:rsidRPr="00735B39">
        <w:rPr>
          <w:rFonts w:ascii="Tahoma" w:hAnsi="Tahoma" w:cs="Tahoma"/>
        </w:rPr>
        <w:tab/>
      </w:r>
      <w:r w:rsidR="00B124DA" w:rsidRPr="00735B39">
        <w:rPr>
          <w:rFonts w:ascii="Tahoma" w:hAnsi="Tahoma" w:cs="Tahoma"/>
        </w:rPr>
        <w:tab/>
      </w:r>
      <w:r w:rsidRPr="00735B39">
        <w:rPr>
          <w:rFonts w:ascii="Tahoma" w:hAnsi="Tahoma" w:cs="Tahoma"/>
        </w:rPr>
        <w:tab/>
      </w:r>
      <w:r w:rsidR="00B124DA" w:rsidRPr="00735B39">
        <w:rPr>
          <w:rFonts w:ascii="Tahoma" w:hAnsi="Tahoma" w:cs="Tahoma"/>
        </w:rPr>
        <w:tab/>
        <w:t>Le</w:t>
      </w:r>
    </w:p>
    <w:p w:rsidR="00B124DA" w:rsidRPr="00735B39" w:rsidRDefault="00B124DA" w:rsidP="00B124DA">
      <w:pPr>
        <w:rPr>
          <w:rFonts w:ascii="Tahoma" w:hAnsi="Tahoma" w:cs="Tahoma"/>
        </w:rPr>
      </w:pPr>
    </w:p>
    <w:p w:rsidR="00B124DA" w:rsidRPr="00735B39" w:rsidRDefault="007A7272" w:rsidP="00B124DA">
      <w:pPr>
        <w:rPr>
          <w:rFonts w:ascii="Tahoma" w:hAnsi="Tahoma" w:cs="Tahoma"/>
        </w:rPr>
      </w:pPr>
      <w:r w:rsidRPr="00735B39">
        <w:rPr>
          <w:rFonts w:ascii="Tahoma" w:hAnsi="Tahoma" w:cs="Tahoma"/>
        </w:rPr>
        <w:t>Direction des Affaires Juridiques</w:t>
      </w:r>
    </w:p>
    <w:p w:rsidR="004D6004" w:rsidRPr="00735B39" w:rsidRDefault="004129E4" w:rsidP="002722B6">
      <w:pPr>
        <w:rPr>
          <w:rFonts w:ascii="Tahoma" w:hAnsi="Tahoma" w:cs="Tahoma"/>
        </w:rPr>
      </w:pPr>
      <w:r w:rsidRPr="00735B39">
        <w:rPr>
          <w:rFonts w:ascii="Tahoma" w:hAnsi="Tahoma" w:cs="Tahoma"/>
        </w:rPr>
        <w:t>Le</w:t>
      </w:r>
    </w:p>
    <w:p w:rsidR="00EF45B6" w:rsidRDefault="00EF45B6" w:rsidP="002722B6">
      <w:pPr>
        <w:rPr>
          <w:rFonts w:ascii="Tahoma" w:hAnsi="Tahoma" w:cs="Tahoma"/>
        </w:rPr>
      </w:pPr>
    </w:p>
    <w:p w:rsidR="00735B39" w:rsidRPr="00735B39" w:rsidRDefault="00735B39" w:rsidP="002722B6">
      <w:pPr>
        <w:rPr>
          <w:rFonts w:ascii="Tahoma" w:hAnsi="Tahoma" w:cs="Tahoma"/>
        </w:rPr>
      </w:pPr>
    </w:p>
    <w:p w:rsidR="00EE3D3B" w:rsidRPr="00735B39" w:rsidRDefault="00B124DA" w:rsidP="00EE3D3B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735B39">
        <w:rPr>
          <w:rFonts w:ascii="Tahoma" w:hAnsi="Tahoma" w:cs="Tahoma"/>
          <w:sz w:val="22"/>
          <w:szCs w:val="22"/>
          <w:u w:val="single"/>
        </w:rPr>
        <w:t>Annexe</w:t>
      </w:r>
      <w:r w:rsidR="00AA7980" w:rsidRPr="00735B39">
        <w:rPr>
          <w:rFonts w:ascii="Tahoma" w:hAnsi="Tahoma" w:cs="Tahoma"/>
          <w:sz w:val="22"/>
          <w:szCs w:val="22"/>
          <w:u w:val="single"/>
        </w:rPr>
        <w:t xml:space="preserve"> 1</w:t>
      </w:r>
      <w:r w:rsidRPr="00735B39">
        <w:rPr>
          <w:rFonts w:ascii="Tahoma" w:hAnsi="Tahoma" w:cs="Tahoma"/>
          <w:sz w:val="22"/>
          <w:szCs w:val="22"/>
          <w:u w:val="single"/>
        </w:rPr>
        <w:t> </w:t>
      </w:r>
      <w:r w:rsidRPr="00735B39">
        <w:rPr>
          <w:rFonts w:ascii="Tahoma" w:hAnsi="Tahoma" w:cs="Tahoma"/>
          <w:sz w:val="22"/>
          <w:szCs w:val="22"/>
        </w:rPr>
        <w:t xml:space="preserve">: </w:t>
      </w:r>
      <w:r w:rsidR="00EE3D3B" w:rsidRPr="00735B39">
        <w:rPr>
          <w:rFonts w:ascii="Tahoma" w:hAnsi="Tahoma" w:cs="Tahoma"/>
          <w:sz w:val="22"/>
          <w:szCs w:val="22"/>
        </w:rPr>
        <w:t>Résultats pouvant</w:t>
      </w:r>
      <w:r w:rsidR="00FE6580" w:rsidRPr="00735B39">
        <w:rPr>
          <w:rFonts w:ascii="Tahoma" w:hAnsi="Tahoma" w:cs="Tahoma"/>
          <w:sz w:val="22"/>
          <w:szCs w:val="22"/>
        </w:rPr>
        <w:t xml:space="preserve"> être validés analytiquement et apparaître </w:t>
      </w:r>
      <w:r w:rsidR="00EE3D3B" w:rsidRPr="00735B39">
        <w:rPr>
          <w:rFonts w:ascii="Tahoma" w:hAnsi="Tahoma" w:cs="Tahoma"/>
          <w:sz w:val="22"/>
          <w:szCs w:val="22"/>
        </w:rPr>
        <w:t xml:space="preserve">avec la mention </w:t>
      </w:r>
      <w:r w:rsidR="00EE3D3B" w:rsidRPr="00735B39">
        <w:rPr>
          <w:rFonts w:ascii="Tahoma" w:hAnsi="Tahoma" w:cs="Tahoma"/>
          <w:b/>
          <w:sz w:val="22"/>
          <w:szCs w:val="22"/>
        </w:rPr>
        <w:t>« </w:t>
      </w:r>
      <w:r w:rsidR="00A371A7" w:rsidRPr="00735B39">
        <w:rPr>
          <w:rFonts w:ascii="Tahoma" w:hAnsi="Tahoma" w:cs="Tahoma"/>
          <w:b/>
          <w:color w:val="FF0000"/>
          <w:sz w:val="22"/>
          <w:szCs w:val="22"/>
        </w:rPr>
        <w:t>(VT)</w:t>
      </w:r>
      <w:r w:rsidR="00EE3D3B" w:rsidRPr="00735B39">
        <w:rPr>
          <w:rFonts w:ascii="Tahoma" w:hAnsi="Tahoma" w:cs="Tahoma"/>
          <w:b/>
          <w:sz w:val="22"/>
          <w:szCs w:val="22"/>
        </w:rPr>
        <w:t> »</w:t>
      </w:r>
      <w:r w:rsidR="00EE3D3B" w:rsidRPr="00735B39">
        <w:rPr>
          <w:rFonts w:ascii="Tahoma" w:hAnsi="Tahoma" w:cs="Tahoma"/>
          <w:sz w:val="22"/>
          <w:szCs w:val="22"/>
        </w:rPr>
        <w:t xml:space="preserve"> sur Cyberlab</w:t>
      </w:r>
    </w:p>
    <w:p w:rsidR="00EE3D3B" w:rsidRPr="00735B39" w:rsidRDefault="00EE3D3B" w:rsidP="00B124DA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B124DA" w:rsidRPr="00735B39" w:rsidRDefault="00B124DA" w:rsidP="00B124DA">
      <w:pPr>
        <w:ind w:left="360"/>
        <w:jc w:val="both"/>
        <w:rPr>
          <w:rFonts w:ascii="Tahoma" w:hAnsi="Tahoma" w:cs="Tahoma"/>
          <w:b/>
          <w:u w:val="single"/>
        </w:rPr>
      </w:pPr>
      <w:r w:rsidRPr="00735B39">
        <w:rPr>
          <w:rFonts w:ascii="Tahoma" w:hAnsi="Tahoma" w:cs="Tahoma"/>
          <w:b/>
          <w:u w:val="single"/>
        </w:rPr>
        <w:t>Département de Biochimie et Pharmaco-Toxicologie</w:t>
      </w:r>
    </w:p>
    <w:p w:rsidR="00B124DA" w:rsidRPr="00735B39" w:rsidRDefault="00B124DA" w:rsidP="00B124DA">
      <w:pPr>
        <w:ind w:left="360"/>
        <w:jc w:val="both"/>
        <w:rPr>
          <w:rFonts w:ascii="Tahoma" w:hAnsi="Tahoma" w:cs="Tahoma"/>
        </w:rPr>
      </w:pPr>
    </w:p>
    <w:p w:rsidR="00505D0A" w:rsidRPr="00735B39" w:rsidRDefault="00505D0A" w:rsidP="00505D0A">
      <w:pPr>
        <w:ind w:left="360"/>
        <w:jc w:val="both"/>
        <w:rPr>
          <w:rFonts w:ascii="Tahoma" w:hAnsi="Tahoma" w:cs="Tahoma"/>
          <w:u w:val="single"/>
        </w:rPr>
      </w:pPr>
      <w:r w:rsidRPr="00735B39">
        <w:rPr>
          <w:rFonts w:ascii="Tahoma" w:hAnsi="Tahoma" w:cs="Tahoma"/>
          <w:u w:val="single"/>
        </w:rPr>
        <w:t>Sang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Gaz du sang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Co-Oxymétrie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 xml:space="preserve"> Calcium ionisé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Carboxyhémoglobine, Methémoglobine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Ionogramme (Na, K, Cl, RA)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Glucose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Urée, Créatinine, Débit de filtration glomérulaire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Protéines, Albumine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Calcium, Phosphore, Magnésium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Acide urique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Osmolalité calclulée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Bilirubines, phosphatases alcalines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ALAT, ASAT, γGT, Lipase, LDH, acides biliares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CPK, Myoglobine, Troponine, BNP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CRP, Procalcitonine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Fer, Coefficient de saturation de la transferrine (CST), Transferrine, Ferritine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Folates, Folates erythrocytaires, Vit B12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Bilan lipidique (cholestérol, triglycérides, HDL, LDL)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hCG, Estradiol, FSH, LH, Progestérone, Prolactine, Cortisol, TSH, T3 libre, T4 libre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Préalbumine, Haptoglobine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Acide Lactique, Ammoniémie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 xml:space="preserve">Dosage des médicaments (Lithium, </w:t>
      </w:r>
      <w:r w:rsidR="00163591">
        <w:rPr>
          <w:rFonts w:ascii="Tahoma" w:hAnsi="Tahoma" w:cs="Tahoma"/>
        </w:rPr>
        <w:t>Acide valproique</w:t>
      </w:r>
      <w:r w:rsidRPr="00735B39">
        <w:rPr>
          <w:rFonts w:ascii="Tahoma" w:hAnsi="Tahoma" w:cs="Tahoma"/>
        </w:rPr>
        <w:t>, Carbamazépine, Phénytoine, phénobarbital, Digoxine</w:t>
      </w:r>
      <w:r w:rsidR="00163591">
        <w:rPr>
          <w:rFonts w:ascii="Tahoma" w:hAnsi="Tahoma" w:cs="Tahoma"/>
        </w:rPr>
        <w:t>, Caféine, Méthotre</w:t>
      </w:r>
      <w:r w:rsidRPr="00735B39">
        <w:rPr>
          <w:rFonts w:ascii="Tahoma" w:hAnsi="Tahoma" w:cs="Tahoma"/>
        </w:rPr>
        <w:t>xate, Amik</w:t>
      </w:r>
      <w:r w:rsidR="003E2706" w:rsidRPr="00735B39">
        <w:rPr>
          <w:rFonts w:ascii="Tahoma" w:hAnsi="Tahoma" w:cs="Tahoma"/>
        </w:rPr>
        <w:t>acine, Gentamicine,</w:t>
      </w:r>
      <w:r w:rsidRPr="00735B39">
        <w:rPr>
          <w:rFonts w:ascii="Tahoma" w:hAnsi="Tahoma" w:cs="Tahoma"/>
        </w:rPr>
        <w:t xml:space="preserve"> Vancomycine)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Méthanol, Ethylène glycol, Recherche de Benzodiazépines, antidépresseurs tricycliques, Ethanol, Paracétamol, Salicylés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</w:p>
    <w:p w:rsidR="00505D0A" w:rsidRPr="00735B39" w:rsidRDefault="00505D0A" w:rsidP="00505D0A">
      <w:pPr>
        <w:ind w:left="360"/>
        <w:jc w:val="both"/>
        <w:rPr>
          <w:rFonts w:ascii="Tahoma" w:hAnsi="Tahoma" w:cs="Tahoma"/>
          <w:u w:val="single"/>
        </w:rPr>
      </w:pPr>
      <w:r w:rsidRPr="00735B39">
        <w:rPr>
          <w:rFonts w:ascii="Tahoma" w:hAnsi="Tahoma" w:cs="Tahoma"/>
          <w:u w:val="single"/>
        </w:rPr>
        <w:t>Urines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Sodium, Potassium, Chlore, Urée, Glucose, Créatinine, Calcium, Phosphore, Protéines, Albumine, Acide urique, Magnésium, pH, Clairance de la créatinine, clairance du Phosphore, TRP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Porphobilinogène (qualitatif)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Toxiques urinaires, Drogues urinaires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</w:p>
    <w:p w:rsidR="00505D0A" w:rsidRPr="00735B39" w:rsidRDefault="00505D0A" w:rsidP="00505D0A">
      <w:pPr>
        <w:ind w:left="360"/>
        <w:jc w:val="both"/>
        <w:rPr>
          <w:rFonts w:ascii="Tahoma" w:hAnsi="Tahoma" w:cs="Tahoma"/>
          <w:u w:val="single"/>
        </w:rPr>
      </w:pPr>
      <w:r w:rsidRPr="00735B39">
        <w:rPr>
          <w:rFonts w:ascii="Tahoma" w:hAnsi="Tahoma" w:cs="Tahoma"/>
          <w:u w:val="single"/>
        </w:rPr>
        <w:t>LCR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  <w:color w:val="FF6600"/>
        </w:rPr>
      </w:pPr>
      <w:r w:rsidRPr="00735B39">
        <w:rPr>
          <w:rFonts w:ascii="Tahoma" w:hAnsi="Tahoma" w:cs="Tahoma"/>
        </w:rPr>
        <w:t>Protéines, Glucose, Chlore, Sodium, Potassium, Acide lactique, Bilirubine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</w:p>
    <w:p w:rsidR="00505D0A" w:rsidRPr="00735B39" w:rsidRDefault="00505D0A" w:rsidP="00505D0A">
      <w:pPr>
        <w:ind w:left="360"/>
        <w:jc w:val="both"/>
        <w:rPr>
          <w:rFonts w:ascii="Tahoma" w:hAnsi="Tahoma" w:cs="Tahoma"/>
          <w:u w:val="single"/>
        </w:rPr>
      </w:pPr>
      <w:r w:rsidRPr="00735B39">
        <w:rPr>
          <w:rFonts w:ascii="Tahoma" w:hAnsi="Tahoma" w:cs="Tahoma"/>
          <w:u w:val="single"/>
        </w:rPr>
        <w:t>Autres liquides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Protéines, LDH, Triglycérides, Cholestérol</w:t>
      </w:r>
    </w:p>
    <w:p w:rsidR="00505D0A" w:rsidRPr="00735B39" w:rsidRDefault="00505D0A" w:rsidP="00505D0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Sodium, Potassium, Chlore, Bicarbonates, Calcium, Phosphore, Glucose, Urée, Créatinine Lipase, Mesure du pH</w:t>
      </w:r>
    </w:p>
    <w:p w:rsidR="00505D0A" w:rsidRPr="00735B39" w:rsidRDefault="00505D0A" w:rsidP="00B124DA">
      <w:pPr>
        <w:ind w:left="360"/>
        <w:jc w:val="both"/>
        <w:rPr>
          <w:rFonts w:ascii="Tahoma" w:hAnsi="Tahoma" w:cs="Tahoma"/>
          <w:u w:val="single"/>
        </w:rPr>
      </w:pPr>
    </w:p>
    <w:p w:rsidR="00505D0A" w:rsidRPr="00735B39" w:rsidRDefault="00505D0A" w:rsidP="00B124DA">
      <w:pPr>
        <w:ind w:left="360"/>
        <w:jc w:val="both"/>
        <w:rPr>
          <w:rFonts w:ascii="Tahoma" w:hAnsi="Tahoma" w:cs="Tahoma"/>
          <w:u w:val="single"/>
        </w:rPr>
      </w:pPr>
    </w:p>
    <w:p w:rsidR="00B1270B" w:rsidRPr="00735B39" w:rsidRDefault="00B1270B" w:rsidP="00B124DA">
      <w:pPr>
        <w:ind w:left="360"/>
        <w:jc w:val="both"/>
        <w:rPr>
          <w:rFonts w:ascii="Tahoma" w:hAnsi="Tahoma" w:cs="Tahoma"/>
          <w:u w:val="single"/>
        </w:rPr>
      </w:pPr>
    </w:p>
    <w:p w:rsidR="00C45C57" w:rsidRDefault="00C45C57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  <w:highlight w:val="yellow"/>
          <w:u w:val="single"/>
        </w:rPr>
      </w:pPr>
    </w:p>
    <w:p w:rsidR="00735B39" w:rsidRPr="00735B39" w:rsidRDefault="00735B39" w:rsidP="00735B39">
      <w:pPr>
        <w:ind w:left="360"/>
        <w:jc w:val="center"/>
        <w:rPr>
          <w:rFonts w:ascii="Tahoma" w:hAnsi="Tahoma" w:cs="Tahoma"/>
          <w:sz w:val="22"/>
          <w:szCs w:val="22"/>
        </w:rPr>
      </w:pPr>
      <w:r w:rsidRPr="00735B39">
        <w:rPr>
          <w:rFonts w:ascii="Tahoma" w:hAnsi="Tahoma" w:cs="Tahoma"/>
          <w:sz w:val="22"/>
          <w:szCs w:val="22"/>
          <w:u w:val="single"/>
        </w:rPr>
        <w:t>Annexe 1 </w:t>
      </w:r>
      <w:r w:rsidRPr="00735B39">
        <w:rPr>
          <w:rFonts w:ascii="Tahoma" w:hAnsi="Tahoma" w:cs="Tahoma"/>
          <w:sz w:val="22"/>
          <w:szCs w:val="22"/>
        </w:rPr>
        <w:t xml:space="preserve">: Résultats pouvant être validés analytiquement et apparaître avec la mention </w:t>
      </w:r>
      <w:r w:rsidRPr="00735B39">
        <w:rPr>
          <w:rFonts w:ascii="Tahoma" w:hAnsi="Tahoma" w:cs="Tahoma"/>
          <w:b/>
          <w:sz w:val="22"/>
          <w:szCs w:val="22"/>
        </w:rPr>
        <w:t>« </w:t>
      </w:r>
      <w:r w:rsidRPr="00735B39">
        <w:rPr>
          <w:rFonts w:ascii="Tahoma" w:hAnsi="Tahoma" w:cs="Tahoma"/>
          <w:b/>
          <w:color w:val="FF0000"/>
          <w:sz w:val="22"/>
          <w:szCs w:val="22"/>
        </w:rPr>
        <w:t>(VT)</w:t>
      </w:r>
      <w:r w:rsidRPr="00735B39">
        <w:rPr>
          <w:rFonts w:ascii="Tahoma" w:hAnsi="Tahoma" w:cs="Tahoma"/>
          <w:b/>
          <w:sz w:val="22"/>
          <w:szCs w:val="22"/>
        </w:rPr>
        <w:t> »</w:t>
      </w:r>
      <w:r w:rsidRPr="00735B39">
        <w:rPr>
          <w:rFonts w:ascii="Tahoma" w:hAnsi="Tahoma" w:cs="Tahoma"/>
          <w:sz w:val="22"/>
          <w:szCs w:val="22"/>
        </w:rPr>
        <w:t xml:space="preserve"> sur Cyberlab</w:t>
      </w:r>
    </w:p>
    <w:p w:rsidR="00735B39" w:rsidRPr="00735B39" w:rsidRDefault="00735B39" w:rsidP="00735B39">
      <w:pPr>
        <w:ind w:left="360"/>
        <w:jc w:val="center"/>
        <w:rPr>
          <w:rFonts w:ascii="Tahoma" w:hAnsi="Tahoma" w:cs="Tahoma"/>
          <w:sz w:val="22"/>
          <w:szCs w:val="22"/>
        </w:rPr>
      </w:pPr>
    </w:p>
    <w:p w:rsidR="00B124DA" w:rsidRPr="00735B39" w:rsidRDefault="00B124DA" w:rsidP="00B124DA">
      <w:pPr>
        <w:ind w:left="360"/>
        <w:jc w:val="both"/>
        <w:rPr>
          <w:rFonts w:ascii="Tahoma" w:hAnsi="Tahoma" w:cs="Tahoma"/>
          <w:b/>
          <w:u w:val="single"/>
        </w:rPr>
      </w:pPr>
      <w:r w:rsidRPr="00735B39">
        <w:rPr>
          <w:rFonts w:ascii="Tahoma" w:hAnsi="Tahoma" w:cs="Tahoma"/>
          <w:b/>
          <w:u w:val="single"/>
        </w:rPr>
        <w:t>Laboratoire d’Hématologie</w:t>
      </w:r>
    </w:p>
    <w:p w:rsidR="00505D0A" w:rsidRPr="00735B39" w:rsidRDefault="00505D0A" w:rsidP="00B124DA">
      <w:pPr>
        <w:ind w:left="360"/>
        <w:jc w:val="both"/>
        <w:rPr>
          <w:rFonts w:ascii="Tahoma" w:hAnsi="Tahoma" w:cs="Tahoma"/>
          <w:b/>
          <w:u w:val="single"/>
        </w:rPr>
      </w:pPr>
    </w:p>
    <w:p w:rsidR="00163591" w:rsidRPr="00D3143D" w:rsidRDefault="00163591" w:rsidP="00163591">
      <w:pPr>
        <w:ind w:left="360"/>
        <w:jc w:val="both"/>
        <w:rPr>
          <w:rFonts w:ascii="Tahoma" w:hAnsi="Tahoma" w:cs="Tahoma"/>
        </w:rPr>
      </w:pPr>
    </w:p>
    <w:p w:rsidR="00163591" w:rsidRPr="00D3143D" w:rsidRDefault="00163591" w:rsidP="00163591">
      <w:pPr>
        <w:shd w:val="clear" w:color="auto" w:fill="FFFFFF"/>
        <w:ind w:left="360"/>
        <w:rPr>
          <w:rFonts w:ascii="Tahoma" w:hAnsi="Tahoma" w:cs="Tahoma"/>
        </w:rPr>
      </w:pPr>
      <w:r w:rsidRPr="00D3143D">
        <w:rPr>
          <w:rFonts w:ascii="Tahoma" w:hAnsi="Tahoma" w:cs="Tahoma"/>
        </w:rPr>
        <w:t>Numération Formule Sanguine (NFS)</w:t>
      </w:r>
      <w:r w:rsidRPr="00D3143D">
        <w:rPr>
          <w:rFonts w:ascii="Tahoma" w:hAnsi="Tahoma" w:cs="Tahoma"/>
        </w:rPr>
        <w:br/>
        <w:t>Temps de Quick (TP)</w:t>
      </w:r>
      <w:r w:rsidRPr="00D3143D">
        <w:rPr>
          <w:rFonts w:ascii="Tahoma" w:hAnsi="Tahoma" w:cs="Tahoma"/>
        </w:rPr>
        <w:br/>
        <w:t>Temps de Céphaline +Activateur -Silice (TCA)</w:t>
      </w:r>
      <w:r w:rsidRPr="00D3143D">
        <w:rPr>
          <w:rFonts w:ascii="Tahoma" w:hAnsi="Tahoma" w:cs="Tahoma"/>
        </w:rPr>
        <w:br/>
        <w:t>Temps de Céphaline +Activateur -Kaolin (TCK)</w:t>
      </w:r>
      <w:r w:rsidRPr="00D3143D">
        <w:rPr>
          <w:rFonts w:ascii="Tahoma" w:hAnsi="Tahoma" w:cs="Tahoma"/>
        </w:rPr>
        <w:br/>
        <w:t>Fibrinogène</w:t>
      </w:r>
      <w:r w:rsidRPr="00D3143D">
        <w:rPr>
          <w:rFonts w:ascii="Tahoma" w:hAnsi="Tahoma" w:cs="Tahoma"/>
        </w:rPr>
        <w:br/>
        <w:t>Antithrombine</w:t>
      </w:r>
      <w:r w:rsidRPr="00D3143D">
        <w:rPr>
          <w:rFonts w:ascii="Tahoma" w:hAnsi="Tahoma" w:cs="Tahoma"/>
        </w:rPr>
        <w:br/>
        <w:t>Facteurs II, V, X, VIII, IX, XI</w:t>
      </w:r>
      <w:r w:rsidRPr="00D3143D">
        <w:rPr>
          <w:rFonts w:ascii="Tahoma" w:hAnsi="Tahoma" w:cs="Tahoma"/>
        </w:rPr>
        <w:br/>
        <w:t>Dosage Willebrand Ag</w:t>
      </w:r>
      <w:r w:rsidRPr="00D3143D">
        <w:rPr>
          <w:rFonts w:ascii="Tahoma" w:hAnsi="Tahoma" w:cs="Tahoma"/>
        </w:rPr>
        <w:br/>
        <w:t>Dosage des anticoagulants</w:t>
      </w:r>
      <w:r w:rsidRPr="00D3143D">
        <w:rPr>
          <w:rFonts w:ascii="Tahoma" w:hAnsi="Tahoma" w:cs="Tahoma"/>
        </w:rPr>
        <w:br/>
        <w:t>D-Dimères</w:t>
      </w:r>
      <w:r w:rsidRPr="00D3143D">
        <w:rPr>
          <w:rFonts w:ascii="Tahoma" w:hAnsi="Tahoma" w:cs="Tahoma"/>
        </w:rPr>
        <w:br/>
        <w:t>Monomères de fibrine</w:t>
      </w:r>
      <w:r w:rsidRPr="00D3143D">
        <w:rPr>
          <w:rFonts w:ascii="Tahoma" w:hAnsi="Tahoma" w:cs="Tahoma"/>
        </w:rPr>
        <w:br/>
        <w:t>Dépistage de la Thrombopénie Induite par l’Héparine (TIH)</w:t>
      </w:r>
    </w:p>
    <w:p w:rsidR="00B124DA" w:rsidRPr="00D3143D" w:rsidRDefault="00B124DA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P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B124DA" w:rsidRPr="00735B39" w:rsidRDefault="00B124DA" w:rsidP="00B124DA">
      <w:pPr>
        <w:ind w:left="360"/>
        <w:rPr>
          <w:rFonts w:ascii="Tahoma" w:hAnsi="Tahoma" w:cs="Tahoma"/>
          <w:b/>
          <w:u w:val="single"/>
        </w:rPr>
      </w:pPr>
      <w:r w:rsidRPr="00735B39">
        <w:rPr>
          <w:rFonts w:ascii="Tahoma" w:hAnsi="Tahoma" w:cs="Tahoma"/>
          <w:b/>
          <w:u w:val="single"/>
        </w:rPr>
        <w:t>Département de Bactériologie-Virologie, Hygiène Hospitalière et Parasitologie-Mycologie</w:t>
      </w:r>
    </w:p>
    <w:p w:rsidR="00B124DA" w:rsidRPr="00735B39" w:rsidRDefault="00B124DA" w:rsidP="00B124DA">
      <w:pPr>
        <w:ind w:left="360"/>
        <w:rPr>
          <w:rFonts w:ascii="Tahoma" w:hAnsi="Tahoma" w:cs="Tahoma"/>
          <w:b/>
          <w:u w:val="single"/>
        </w:rPr>
      </w:pPr>
    </w:p>
    <w:p w:rsidR="00B124DA" w:rsidRPr="00735B39" w:rsidRDefault="00F123E1" w:rsidP="00B124D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Les</w:t>
      </w:r>
      <w:r w:rsidR="00B124DA" w:rsidRPr="00735B39">
        <w:rPr>
          <w:rFonts w:ascii="Tahoma" w:hAnsi="Tahoma" w:cs="Tahoma"/>
        </w:rPr>
        <w:t xml:space="preserve"> examens de Bactériologie</w:t>
      </w:r>
      <w:r w:rsidR="00C45B50">
        <w:rPr>
          <w:rFonts w:ascii="Tahoma" w:hAnsi="Tahoma" w:cs="Tahoma"/>
        </w:rPr>
        <w:t xml:space="preserve"> à l’exception des examens de Biologie Moléculaire concernant le secteur des mycobactéries</w:t>
      </w:r>
    </w:p>
    <w:p w:rsidR="00AA7980" w:rsidRPr="00735B39" w:rsidRDefault="00F123E1" w:rsidP="00B124DA">
      <w:pPr>
        <w:ind w:left="360"/>
        <w:jc w:val="both"/>
        <w:rPr>
          <w:rFonts w:ascii="Tahoma" w:hAnsi="Tahoma" w:cs="Tahoma"/>
        </w:rPr>
      </w:pPr>
      <w:r w:rsidRPr="00735B39">
        <w:rPr>
          <w:rFonts w:ascii="Tahoma" w:hAnsi="Tahoma" w:cs="Tahoma"/>
        </w:rPr>
        <w:t>Les examens de Parasitologie-Mycologie à l’exception des examens sérologiques</w:t>
      </w:r>
      <w:r w:rsidR="00163591">
        <w:rPr>
          <w:rFonts w:ascii="Tahoma" w:hAnsi="Tahoma" w:cs="Tahoma"/>
        </w:rPr>
        <w:t xml:space="preserve"> et de Biologie Moléculaire</w:t>
      </w:r>
    </w:p>
    <w:p w:rsidR="00AA7980" w:rsidRPr="00735B39" w:rsidRDefault="00AA7980" w:rsidP="00B124DA">
      <w:pPr>
        <w:ind w:left="360"/>
        <w:jc w:val="both"/>
        <w:rPr>
          <w:rFonts w:ascii="Tahoma" w:hAnsi="Tahoma" w:cs="Tahoma"/>
        </w:rPr>
      </w:pPr>
    </w:p>
    <w:p w:rsidR="000169FF" w:rsidRDefault="000169FF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735B39" w:rsidRPr="00735B39" w:rsidRDefault="00735B39" w:rsidP="00B124DA">
      <w:pPr>
        <w:ind w:left="360"/>
        <w:jc w:val="both"/>
        <w:rPr>
          <w:rFonts w:ascii="Tahoma" w:hAnsi="Tahoma" w:cs="Tahoma"/>
        </w:rPr>
      </w:pPr>
    </w:p>
    <w:p w:rsidR="004D6004" w:rsidRPr="00735B39" w:rsidRDefault="004D6004" w:rsidP="00A573CD">
      <w:pPr>
        <w:ind w:left="360"/>
        <w:jc w:val="center"/>
        <w:rPr>
          <w:rFonts w:ascii="Tahoma" w:hAnsi="Tahoma" w:cs="Tahoma"/>
          <w:u w:val="single"/>
        </w:rPr>
      </w:pPr>
    </w:p>
    <w:p w:rsidR="00293DD4" w:rsidRPr="00735B39" w:rsidRDefault="00AA7980" w:rsidP="00293DD4">
      <w:pPr>
        <w:spacing w:line="360" w:lineRule="auto"/>
        <w:ind w:left="360"/>
        <w:jc w:val="center"/>
        <w:rPr>
          <w:rFonts w:ascii="Tahoma" w:hAnsi="Tahoma" w:cs="Tahoma"/>
          <w:sz w:val="22"/>
          <w:szCs w:val="22"/>
        </w:rPr>
      </w:pPr>
      <w:r w:rsidRPr="00735B39">
        <w:rPr>
          <w:rFonts w:ascii="Tahoma" w:hAnsi="Tahoma" w:cs="Tahoma"/>
          <w:sz w:val="22"/>
          <w:szCs w:val="22"/>
          <w:u w:val="single"/>
        </w:rPr>
        <w:t>Annexe 2</w:t>
      </w:r>
      <w:r w:rsidR="000169FF" w:rsidRPr="00735B39">
        <w:rPr>
          <w:rFonts w:ascii="Tahoma" w:hAnsi="Tahoma" w:cs="Tahoma"/>
          <w:sz w:val="22"/>
          <w:szCs w:val="22"/>
        </w:rPr>
        <w:t xml:space="preserve"> : </w:t>
      </w:r>
      <w:r w:rsidR="006802E1" w:rsidRPr="00735B39">
        <w:rPr>
          <w:rFonts w:ascii="Tahoma" w:hAnsi="Tahoma" w:cs="Tahoma"/>
          <w:sz w:val="22"/>
          <w:szCs w:val="22"/>
        </w:rPr>
        <w:t>U</w:t>
      </w:r>
      <w:r w:rsidR="000169FF" w:rsidRPr="00735B39">
        <w:rPr>
          <w:rFonts w:ascii="Tahoma" w:hAnsi="Tahoma" w:cs="Tahoma"/>
          <w:sz w:val="22"/>
          <w:szCs w:val="22"/>
        </w:rPr>
        <w:t xml:space="preserve">nités de soins pour lesquelles les résultats </w:t>
      </w:r>
      <w:r w:rsidR="000723B2" w:rsidRPr="00735B39">
        <w:rPr>
          <w:rFonts w:ascii="Tahoma" w:hAnsi="Tahoma" w:cs="Tahoma"/>
          <w:sz w:val="22"/>
          <w:szCs w:val="22"/>
        </w:rPr>
        <w:t xml:space="preserve">du </w:t>
      </w:r>
      <w:r w:rsidR="000723B2" w:rsidRPr="00735B39">
        <w:rPr>
          <w:rFonts w:ascii="Tahoma" w:hAnsi="Tahoma" w:cs="Tahoma"/>
          <w:sz w:val="22"/>
          <w:szCs w:val="22"/>
          <w:u w:val="single"/>
        </w:rPr>
        <w:t>département de Biochimie et Pharmaco-Toxicologie</w:t>
      </w:r>
      <w:r w:rsidR="000723B2" w:rsidRPr="00735B39">
        <w:rPr>
          <w:rFonts w:ascii="Tahoma" w:hAnsi="Tahoma" w:cs="Tahoma"/>
          <w:sz w:val="22"/>
          <w:szCs w:val="22"/>
        </w:rPr>
        <w:t xml:space="preserve">, du </w:t>
      </w:r>
      <w:r w:rsidR="000723B2" w:rsidRPr="00735B39">
        <w:rPr>
          <w:rFonts w:ascii="Tahoma" w:hAnsi="Tahoma" w:cs="Tahoma"/>
          <w:sz w:val="22"/>
          <w:szCs w:val="22"/>
          <w:u w:val="single"/>
        </w:rPr>
        <w:t>laboratoire d’Hématologie</w:t>
      </w:r>
      <w:r w:rsidR="000723B2" w:rsidRPr="00735B39">
        <w:rPr>
          <w:rFonts w:ascii="Tahoma" w:hAnsi="Tahoma" w:cs="Tahoma"/>
          <w:sz w:val="22"/>
          <w:szCs w:val="22"/>
        </w:rPr>
        <w:t xml:space="preserve"> et du </w:t>
      </w:r>
      <w:r w:rsidR="000723B2" w:rsidRPr="00735B39">
        <w:rPr>
          <w:rFonts w:ascii="Tahoma" w:hAnsi="Tahoma" w:cs="Tahoma"/>
          <w:sz w:val="22"/>
          <w:szCs w:val="22"/>
          <w:u w:val="single"/>
        </w:rPr>
        <w:t>Département de Bactériologie-Virologie, Hygiène Hospitalière et Parasitologie-Mycologie</w:t>
      </w:r>
      <w:r w:rsidR="00A573CD" w:rsidRPr="00735B39">
        <w:rPr>
          <w:rFonts w:ascii="Tahoma" w:hAnsi="Tahoma" w:cs="Tahoma"/>
          <w:sz w:val="22"/>
          <w:szCs w:val="22"/>
        </w:rPr>
        <w:t xml:space="preserve"> </w:t>
      </w:r>
      <w:r w:rsidR="000169FF" w:rsidRPr="00735B39">
        <w:rPr>
          <w:rFonts w:ascii="Tahoma" w:hAnsi="Tahoma" w:cs="Tahoma"/>
          <w:sz w:val="22"/>
          <w:szCs w:val="22"/>
        </w:rPr>
        <w:t>sont mis à disposition sur CYBERLAB</w:t>
      </w:r>
    </w:p>
    <w:p w:rsidR="00AA7980" w:rsidRPr="00735B39" w:rsidRDefault="000169FF" w:rsidP="00293DD4">
      <w:pPr>
        <w:spacing w:line="360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735B39">
        <w:rPr>
          <w:rFonts w:ascii="Tahoma" w:hAnsi="Tahoma" w:cs="Tahoma"/>
          <w:sz w:val="22"/>
          <w:szCs w:val="22"/>
        </w:rPr>
        <w:t xml:space="preserve"> </w:t>
      </w:r>
      <w:r w:rsidRPr="00735B39">
        <w:rPr>
          <w:rFonts w:ascii="Tahoma" w:hAnsi="Tahoma" w:cs="Tahoma"/>
          <w:b/>
          <w:sz w:val="22"/>
          <w:szCs w:val="22"/>
        </w:rPr>
        <w:t>sans envoi d’un exemplaire papier</w:t>
      </w:r>
    </w:p>
    <w:p w:rsidR="000169FF" w:rsidRPr="00735B39" w:rsidRDefault="000169FF" w:rsidP="00293DD4">
      <w:pPr>
        <w:spacing w:line="360" w:lineRule="auto"/>
        <w:ind w:left="708"/>
        <w:jc w:val="both"/>
        <w:rPr>
          <w:rFonts w:ascii="Tahoma" w:hAnsi="Tahoma" w:cs="Tahoma"/>
          <w:sz w:val="22"/>
          <w:szCs w:val="22"/>
        </w:rPr>
      </w:pPr>
    </w:p>
    <w:p w:rsidR="000169FF" w:rsidRPr="00735B39" w:rsidRDefault="000169FF" w:rsidP="000169FF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AA7980" w:rsidRPr="00735B39" w:rsidRDefault="006802E1" w:rsidP="000169FF">
      <w:pPr>
        <w:numPr>
          <w:ilvl w:val="0"/>
          <w:numId w:val="13"/>
        </w:numPr>
        <w:tabs>
          <w:tab w:val="clear" w:pos="720"/>
          <w:tab w:val="num" w:pos="1068"/>
        </w:tabs>
        <w:spacing w:before="100" w:beforeAutospacing="1" w:after="100" w:afterAutospacing="1"/>
        <w:ind w:left="1068"/>
        <w:rPr>
          <w:rFonts w:ascii="Tahoma" w:hAnsi="Tahoma" w:cs="Tahoma"/>
        </w:rPr>
      </w:pPr>
      <w:r w:rsidRPr="00735B39">
        <w:rPr>
          <w:rFonts w:ascii="Tahoma" w:hAnsi="Tahoma" w:cs="Tahoma"/>
        </w:rPr>
        <w:t>Unités de soins des urgences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 xml:space="preserve">5638 : </w:t>
      </w:r>
      <w:r w:rsidR="00A371A7" w:rsidRPr="00735B39">
        <w:rPr>
          <w:rFonts w:ascii="Tahoma" w:hAnsi="Tahoma" w:cs="Tahoma"/>
          <w:bCs/>
        </w:rPr>
        <w:t>CE Accueil Urgences vitales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 xml:space="preserve">5639 : </w:t>
      </w:r>
      <w:r w:rsidR="00A371A7" w:rsidRPr="00735B39">
        <w:rPr>
          <w:rFonts w:ascii="Tahoma" w:hAnsi="Tahoma" w:cs="Tahoma"/>
          <w:bCs/>
        </w:rPr>
        <w:t>CE Unité d’accueil gériatrique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 xml:space="preserve">5640 : </w:t>
      </w:r>
      <w:r w:rsidR="00A371A7" w:rsidRPr="00735B39">
        <w:rPr>
          <w:rFonts w:ascii="Tahoma" w:hAnsi="Tahoma" w:cs="Tahoma"/>
          <w:bCs/>
        </w:rPr>
        <w:t>Accueil Urgences CB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 xml:space="preserve">5641 : </w:t>
      </w:r>
      <w:r w:rsidR="00A371A7" w:rsidRPr="00735B39">
        <w:rPr>
          <w:rFonts w:ascii="Tahoma" w:hAnsi="Tahoma" w:cs="Tahoma"/>
          <w:bCs/>
        </w:rPr>
        <w:t>CE Urgences médicales CB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 xml:space="preserve">5642 : </w:t>
      </w:r>
      <w:r w:rsidR="00A371A7" w:rsidRPr="00735B39">
        <w:rPr>
          <w:rFonts w:ascii="Tahoma" w:hAnsi="Tahoma" w:cs="Tahoma"/>
          <w:bCs/>
        </w:rPr>
        <w:t>CE Urgences chirurgicales CB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 xml:space="preserve">5643 : </w:t>
      </w:r>
      <w:r w:rsidR="00A371A7" w:rsidRPr="00735B39">
        <w:rPr>
          <w:rFonts w:ascii="Tahoma" w:hAnsi="Tahoma" w:cs="Tahoma"/>
          <w:bCs/>
        </w:rPr>
        <w:t>CE Urgences psychiatriques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>5646 : UHCD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 xml:space="preserve">5649 : </w:t>
      </w:r>
      <w:r w:rsidR="00A371A7" w:rsidRPr="00735B39">
        <w:rPr>
          <w:rFonts w:ascii="Tahoma" w:hAnsi="Tahoma" w:cs="Tahoma"/>
          <w:bCs/>
        </w:rPr>
        <w:t>Déchoquage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>5659 : Unité de Médecine Post-Urgences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  <w:bCs/>
        </w:rPr>
      </w:pPr>
      <w:r w:rsidRPr="00735B39">
        <w:rPr>
          <w:rFonts w:ascii="Tahoma" w:hAnsi="Tahoma" w:cs="Tahoma"/>
          <w:bCs/>
        </w:rPr>
        <w:t xml:space="preserve">5661 : </w:t>
      </w:r>
      <w:r w:rsidR="00A371A7" w:rsidRPr="00735B39">
        <w:rPr>
          <w:rFonts w:ascii="Tahoma" w:hAnsi="Tahoma" w:cs="Tahoma"/>
          <w:bCs/>
        </w:rPr>
        <w:t>Accueil urgences ophtalmologiques</w:t>
      </w:r>
    </w:p>
    <w:p w:rsidR="004D6004" w:rsidRPr="00735B39" w:rsidRDefault="004D6004" w:rsidP="004D6004">
      <w:pPr>
        <w:spacing w:before="100" w:beforeAutospacing="1" w:after="100" w:afterAutospacing="1"/>
        <w:ind w:left="1080"/>
        <w:jc w:val="both"/>
        <w:rPr>
          <w:rFonts w:ascii="Tahoma" w:hAnsi="Tahoma" w:cs="Tahoma"/>
        </w:rPr>
      </w:pPr>
      <w:r w:rsidRPr="00735B39">
        <w:rPr>
          <w:rFonts w:ascii="Tahoma" w:hAnsi="Tahoma" w:cs="Tahoma"/>
          <w:bCs/>
        </w:rPr>
        <w:t xml:space="preserve">5663 : </w:t>
      </w:r>
      <w:r w:rsidR="00A371A7" w:rsidRPr="00735B39">
        <w:rPr>
          <w:rFonts w:ascii="Tahoma" w:hAnsi="Tahoma" w:cs="Tahoma"/>
          <w:bCs/>
        </w:rPr>
        <w:t>Accueil urgences dermatologiques</w:t>
      </w:r>
    </w:p>
    <w:p w:rsidR="00AA7980" w:rsidRPr="00735B39" w:rsidRDefault="00AA7980" w:rsidP="00B1270B">
      <w:pPr>
        <w:spacing w:before="100" w:beforeAutospacing="1" w:after="100" w:afterAutospacing="1"/>
        <w:rPr>
          <w:rFonts w:ascii="Tahoma" w:hAnsi="Tahoma" w:cs="Tahoma"/>
        </w:rPr>
      </w:pPr>
    </w:p>
    <w:sectPr w:rsidR="00AA7980" w:rsidRPr="00735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B9" w:rsidRDefault="00B46AB9">
      <w:r>
        <w:separator/>
      </w:r>
    </w:p>
  </w:endnote>
  <w:endnote w:type="continuationSeparator" w:id="0">
    <w:p w:rsidR="00B46AB9" w:rsidRDefault="00B4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2" w:rsidRDefault="00E50952" w:rsidP="00B124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50952" w:rsidRDefault="00E50952" w:rsidP="00B124D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2" w:rsidRPr="00524577" w:rsidRDefault="00524577" w:rsidP="00524577">
    <w:pPr>
      <w:pStyle w:val="Pieddepage"/>
      <w:jc w:val="center"/>
    </w:pPr>
    <w:r>
      <w:t xml:space="preserve">Ref : LAB-PBIO-DIRE-ENR-008-04  Version : 04 - Page </w:t>
    </w:r>
    <w:fldSimple w:instr=" PAGE  \* MERGEFORMAT ">
      <w:r>
        <w:rPr>
          <w:noProof/>
        </w:rPr>
        <w:t>1</w:t>
      </w:r>
    </w:fldSimple>
    <w:r>
      <w:t xml:space="preserve"> sur </w:t>
    </w:r>
    <w:fldSimple w:instr=" NUMPAGES  \* MERGEFORMAT ">
      <w:r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77" w:rsidRDefault="005245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B9" w:rsidRDefault="00B46AB9">
      <w:r>
        <w:separator/>
      </w:r>
    </w:p>
  </w:footnote>
  <w:footnote w:type="continuationSeparator" w:id="0">
    <w:p w:rsidR="00B46AB9" w:rsidRDefault="00B4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2" w:rsidRDefault="00E509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64764" o:spid="_x0000_s2053" type="#_x0000_t136" style="position:absolute;margin-left:0;margin-top:0;width:607.3pt;height: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ule la version electronique fait fo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/>
    </w:tblPr>
    <w:tblGrid>
      <w:gridCol w:w="3074"/>
      <w:gridCol w:w="3074"/>
      <w:gridCol w:w="3074"/>
    </w:tblGrid>
    <w:tr w:rsidR="0052457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  <w:gridCol w:w="1859"/>
          </w:tblGrid>
          <w:tr w:rsidR="0052457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524577" w:rsidRDefault="008D76EE" w:rsidP="0052457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noProof/>
                    <w:color w:val="000000"/>
                  </w:rPr>
                  <w:drawing>
                    <wp:inline distT="0" distB="0" distL="0" distR="0">
                      <wp:extent cx="666750" cy="333375"/>
                      <wp:effectExtent l="19050" t="0" r="0" b="0"/>
                      <wp:docPr id="1" name="Image 1" descr="https://vs-kalilab.chu-brest.fr/sitelogo.php?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vs-kalilab.chu-brest.fr/sitelogo.php?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524577" w:rsidRDefault="00524577" w:rsidP="00524577">
                <w:pPr>
                  <w:jc w:val="center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Arial" w:hAnsi="Arial" w:cs="Arial"/>
                    <w:color w:val="000000"/>
                  </w:rPr>
                  <w:t xml:space="preserve">PÔLE BIOLOGIE-PATHOLOGIE </w:t>
                </w:r>
                <w:r>
                  <w:rPr>
                    <w:rFonts w:ascii="Arial" w:hAnsi="Arial" w:cs="Arial"/>
                    <w:color w:val="000000"/>
                  </w:rPr>
                  <w:br/>
                  <w:t>CHRU DE BREST</w:t>
                </w:r>
              </w:p>
            </w:tc>
          </w:tr>
        </w:tbl>
        <w:p w:rsidR="00524577" w:rsidRDefault="00524577" w:rsidP="00524577">
          <w:pPr>
            <w:jc w:val="center"/>
            <w:rPr>
              <w:rFonts w:ascii="Arial" w:hAnsi="Arial" w:cs="Arial"/>
              <w:color w:val="00000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524577" w:rsidRDefault="00524577" w:rsidP="00524577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Contrat avec les unités de soins</w:t>
          </w:r>
          <w:r>
            <w:rPr>
              <w:rFonts w:ascii="Arial" w:hAnsi="Arial" w:cs="Arial"/>
              <w:color w:val="00000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524577" w:rsidRDefault="00524577" w:rsidP="00524577">
          <w:pPr>
            <w:jc w:val="center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>Ref : LAB-PBIO-DIRE-ENR-008-04</w:t>
          </w:r>
          <w:r>
            <w:rPr>
              <w:rFonts w:ascii="Arial" w:hAnsi="Arial" w:cs="Arial"/>
              <w:color w:val="00000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Version : 04</w:t>
          </w:r>
          <w:r>
            <w:rPr>
              <w:rFonts w:ascii="Arial" w:hAnsi="Arial" w:cs="Arial"/>
              <w:color w:val="000000"/>
            </w:rPr>
            <w:br/>
          </w:r>
          <w:r>
            <w:rPr>
              <w:rFonts w:ascii="Arial" w:hAnsi="Arial" w:cs="Arial"/>
              <w:color w:val="000000"/>
              <w:sz w:val="17"/>
              <w:szCs w:val="17"/>
            </w:rPr>
            <w:t>Applicable le : 08-04-2019</w:t>
          </w:r>
          <w:r>
            <w:rPr>
              <w:rFonts w:ascii="Arial" w:hAnsi="Arial" w:cs="Arial"/>
              <w:color w:val="000000"/>
            </w:rPr>
            <w:br/>
          </w:r>
          <w:r w:rsidR="008D76EE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1809750" cy="381000"/>
                <wp:effectExtent l="19050" t="0" r="0" b="0"/>
                <wp:docPr id="2" name="Image 2" descr="https://vs-kalilab.chu-brest.fr/moduleKalilab/print/codebar.php?code=DOC12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vs-kalilab.chu-brest.fr/moduleKalilab/print/codebar.php?code=DOC122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0952" w:rsidRPr="00524577" w:rsidRDefault="00E50952" w:rsidP="00524577">
    <w:pPr>
      <w:pStyle w:val="En-tte"/>
      <w:jc w:val="center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2" w:rsidRDefault="00E5095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664763" o:spid="_x0000_s2052" type="#_x0000_t136" style="position:absolute;margin-left:0;margin-top:0;width:607.3pt;height:31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eule la version electronique fait fo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0pt;height:650.25pt" o:bullet="t">
        <v:imagedata r:id="rId1" o:title="attention"/>
      </v:shape>
    </w:pict>
  </w:numPicBullet>
  <w:abstractNum w:abstractNumId="0">
    <w:nsid w:val="0259374D"/>
    <w:multiLevelType w:val="hybridMultilevel"/>
    <w:tmpl w:val="E08E5AE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92BEB"/>
    <w:multiLevelType w:val="hybridMultilevel"/>
    <w:tmpl w:val="157EF73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92DDB"/>
    <w:multiLevelType w:val="hybridMultilevel"/>
    <w:tmpl w:val="C9CAD4B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C87D89"/>
    <w:multiLevelType w:val="multilevel"/>
    <w:tmpl w:val="6DA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65988"/>
    <w:multiLevelType w:val="hybridMultilevel"/>
    <w:tmpl w:val="D2442E6E"/>
    <w:lvl w:ilvl="0" w:tplc="BFE8B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844C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862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B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EC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E7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E9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E6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EA3145"/>
    <w:multiLevelType w:val="hybridMultilevel"/>
    <w:tmpl w:val="9F889E14"/>
    <w:lvl w:ilvl="0" w:tplc="040C0003">
      <w:start w:val="1"/>
      <w:numFmt w:val="bullet"/>
      <w:lvlText w:val="o"/>
      <w:lvlJc w:val="left"/>
      <w:pPr>
        <w:tabs>
          <w:tab w:val="num" w:pos="-336"/>
        </w:tabs>
        <w:ind w:left="-3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6">
    <w:nsid w:val="5BA45DD2"/>
    <w:multiLevelType w:val="hybridMultilevel"/>
    <w:tmpl w:val="F6886E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526B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E8146B"/>
    <w:multiLevelType w:val="hybridMultilevel"/>
    <w:tmpl w:val="B0C8912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5D693F"/>
    <w:multiLevelType w:val="multilevel"/>
    <w:tmpl w:val="F6886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2C90C72"/>
    <w:multiLevelType w:val="hybridMultilevel"/>
    <w:tmpl w:val="EF6461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341020"/>
    <w:multiLevelType w:val="hybridMultilevel"/>
    <w:tmpl w:val="9AC290D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526B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B24974"/>
    <w:multiLevelType w:val="multilevel"/>
    <w:tmpl w:val="9BF0D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D857EE"/>
    <w:multiLevelType w:val="hybridMultilevel"/>
    <w:tmpl w:val="9BF0DD1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BF141D"/>
    <w:multiLevelType w:val="multilevel"/>
    <w:tmpl w:val="157EF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3054"/>
    <w:rsid w:val="000169FF"/>
    <w:rsid w:val="000201C1"/>
    <w:rsid w:val="000723B2"/>
    <w:rsid w:val="000E7409"/>
    <w:rsid w:val="001076E6"/>
    <w:rsid w:val="00113FE9"/>
    <w:rsid w:val="0012609F"/>
    <w:rsid w:val="0013320C"/>
    <w:rsid w:val="00135E32"/>
    <w:rsid w:val="00163591"/>
    <w:rsid w:val="0017429F"/>
    <w:rsid w:val="0019253D"/>
    <w:rsid w:val="001C2D77"/>
    <w:rsid w:val="002722B6"/>
    <w:rsid w:val="00293DD4"/>
    <w:rsid w:val="00303DF9"/>
    <w:rsid w:val="00340210"/>
    <w:rsid w:val="003E2706"/>
    <w:rsid w:val="004129E4"/>
    <w:rsid w:val="00496624"/>
    <w:rsid w:val="004A134C"/>
    <w:rsid w:val="004B0557"/>
    <w:rsid w:val="004D6004"/>
    <w:rsid w:val="004E6CF6"/>
    <w:rsid w:val="0050172E"/>
    <w:rsid w:val="00505D0A"/>
    <w:rsid w:val="00524577"/>
    <w:rsid w:val="00545554"/>
    <w:rsid w:val="00592BB3"/>
    <w:rsid w:val="005C33CC"/>
    <w:rsid w:val="005F10A5"/>
    <w:rsid w:val="005F74D0"/>
    <w:rsid w:val="00616575"/>
    <w:rsid w:val="006477F6"/>
    <w:rsid w:val="006802E1"/>
    <w:rsid w:val="006F5A40"/>
    <w:rsid w:val="00735B39"/>
    <w:rsid w:val="007A1D4F"/>
    <w:rsid w:val="007A7272"/>
    <w:rsid w:val="00876D33"/>
    <w:rsid w:val="008850DE"/>
    <w:rsid w:val="008C020C"/>
    <w:rsid w:val="008D531F"/>
    <w:rsid w:val="008D76EE"/>
    <w:rsid w:val="00922BB9"/>
    <w:rsid w:val="0093755E"/>
    <w:rsid w:val="0098569D"/>
    <w:rsid w:val="009B12D1"/>
    <w:rsid w:val="009C017E"/>
    <w:rsid w:val="009C39E5"/>
    <w:rsid w:val="00A371A7"/>
    <w:rsid w:val="00A37AA9"/>
    <w:rsid w:val="00A573CD"/>
    <w:rsid w:val="00A66E71"/>
    <w:rsid w:val="00A72C73"/>
    <w:rsid w:val="00A93EDB"/>
    <w:rsid w:val="00AA284A"/>
    <w:rsid w:val="00AA7980"/>
    <w:rsid w:val="00AB2660"/>
    <w:rsid w:val="00B02444"/>
    <w:rsid w:val="00B124DA"/>
    <w:rsid w:val="00B1270B"/>
    <w:rsid w:val="00B46AB9"/>
    <w:rsid w:val="00B62A43"/>
    <w:rsid w:val="00B85028"/>
    <w:rsid w:val="00BC250F"/>
    <w:rsid w:val="00C14A85"/>
    <w:rsid w:val="00C45B50"/>
    <w:rsid w:val="00C45C57"/>
    <w:rsid w:val="00C54F92"/>
    <w:rsid w:val="00C6672C"/>
    <w:rsid w:val="00C77F9E"/>
    <w:rsid w:val="00C94120"/>
    <w:rsid w:val="00C97131"/>
    <w:rsid w:val="00CF1EC0"/>
    <w:rsid w:val="00D019A2"/>
    <w:rsid w:val="00D113E4"/>
    <w:rsid w:val="00D3143D"/>
    <w:rsid w:val="00D81990"/>
    <w:rsid w:val="00DE67AE"/>
    <w:rsid w:val="00E24495"/>
    <w:rsid w:val="00E322CB"/>
    <w:rsid w:val="00E462B1"/>
    <w:rsid w:val="00E50952"/>
    <w:rsid w:val="00E53FFD"/>
    <w:rsid w:val="00E62C7B"/>
    <w:rsid w:val="00E77D1E"/>
    <w:rsid w:val="00ED4866"/>
    <w:rsid w:val="00EE3D3B"/>
    <w:rsid w:val="00EF45B6"/>
    <w:rsid w:val="00EF6A33"/>
    <w:rsid w:val="00F105A4"/>
    <w:rsid w:val="00F123E1"/>
    <w:rsid w:val="00F34D00"/>
    <w:rsid w:val="00FE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07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D2E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2E4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722DA"/>
  </w:style>
  <w:style w:type="character" w:styleId="Marquedecommentaire">
    <w:name w:val="annotation reference"/>
    <w:basedOn w:val="Policepardfaut"/>
    <w:uiPriority w:val="99"/>
    <w:semiHidden/>
    <w:unhideWhenUsed/>
    <w:rsid w:val="00AF633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6335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633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63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63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33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335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4D6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54C22-6404-4E7A-92A6-CB07C0F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ET AMELIORATION CONTINUE DE LA QUALITE</vt:lpstr>
    </vt:vector>
  </TitlesOfParts>
  <Company>CHRU BREST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ET AMELIORATION CONTINUE DE LA QUALITE</dc:title>
  <dc:creator>narbonnev</dc:creator>
  <cp:lastModifiedBy>temp</cp:lastModifiedBy>
  <cp:revision>2</cp:revision>
  <cp:lastPrinted>2014-05-14T15:56:00Z</cp:lastPrinted>
  <dcterms:created xsi:type="dcterms:W3CDTF">2019-06-20T16:14:00Z</dcterms:created>
  <dcterms:modified xsi:type="dcterms:W3CDTF">2019-06-20T16:14:00Z</dcterms:modified>
</cp:coreProperties>
</file>